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7B9D" w14:textId="5F28ACE1" w:rsidR="009A5010" w:rsidRPr="001E6ECA" w:rsidRDefault="009A5010">
      <w:pPr>
        <w:pStyle w:val="BodyText"/>
        <w:ind w:left="100" w:right="-6"/>
        <w:rPr>
          <w:rFonts w:asciiTheme="minorHAnsi" w:hAnsiTheme="minorHAnsi" w:cstheme="minorHAnsi"/>
          <w:sz w:val="20"/>
        </w:rPr>
      </w:pPr>
    </w:p>
    <w:p w14:paraId="57672F77" w14:textId="77777777" w:rsidR="00BC1F57" w:rsidRPr="001E6ECA" w:rsidRDefault="00BC1F57">
      <w:pPr>
        <w:spacing w:before="3"/>
        <w:ind w:left="131"/>
        <w:rPr>
          <w:rFonts w:asciiTheme="minorHAnsi" w:hAnsiTheme="minorHAnsi" w:cstheme="minorHAnsi"/>
          <w:spacing w:val="-11"/>
          <w:sz w:val="56"/>
        </w:rPr>
      </w:pPr>
    </w:p>
    <w:p w14:paraId="1EF77B9E" w14:textId="2982142C" w:rsidR="009A5010" w:rsidRPr="001E6ECA" w:rsidRDefault="0018219C" w:rsidP="0018219C">
      <w:pPr>
        <w:pStyle w:val="Heading1Calibri"/>
        <w:jc w:val="center"/>
        <w:rPr>
          <w:rFonts w:asciiTheme="minorHAnsi" w:eastAsia="Times New Roman" w:hAnsiTheme="minorHAnsi" w:cstheme="minorHAnsi"/>
          <w:bCs w:val="0"/>
          <w:color w:val="365F91" w:themeColor="accent1" w:themeShade="BF"/>
          <w:sz w:val="36"/>
          <w:szCs w:val="38"/>
        </w:rPr>
      </w:pPr>
      <w:r w:rsidRPr="001E6ECA">
        <w:rPr>
          <w:rFonts w:asciiTheme="minorHAnsi" w:eastAsia="Times New Roman" w:hAnsiTheme="minorHAnsi" w:cstheme="minorHAnsi"/>
          <w:bCs w:val="0"/>
          <w:color w:val="365F91" w:themeColor="accent1" w:themeShade="BF"/>
          <w:sz w:val="36"/>
          <w:szCs w:val="38"/>
        </w:rPr>
        <w:t>Culture Media Table</w:t>
      </w:r>
    </w:p>
    <w:p w14:paraId="1EF77B9F" w14:textId="5C62D202" w:rsidR="009A5010" w:rsidRPr="001E6ECA" w:rsidRDefault="00DC3A65" w:rsidP="000F5A66">
      <w:pPr>
        <w:pStyle w:val="Heading1Calibri"/>
        <w:ind w:left="432" w:right="432"/>
        <w:rPr>
          <w:rFonts w:asciiTheme="minorHAnsi" w:hAnsiTheme="minorHAnsi" w:cstheme="minorHAnsi"/>
        </w:rPr>
      </w:pPr>
      <w:r w:rsidRPr="001E6ECA">
        <w:rPr>
          <w:rFonts w:asciiTheme="minorHAnsi" w:hAnsiTheme="minorHAnsi" w:cstheme="minorHAnsi"/>
        </w:rPr>
        <w:t xml:space="preserve">Introduction </w:t>
      </w:r>
    </w:p>
    <w:p w14:paraId="1EF77BAC" w14:textId="1C35C2F8" w:rsidR="009A5010" w:rsidRDefault="00DC3A65" w:rsidP="000F5A66">
      <w:pPr>
        <w:pStyle w:val="BodyText"/>
        <w:ind w:left="432" w:right="432"/>
        <w:rPr>
          <w:rFonts w:asciiTheme="minorHAnsi" w:hAnsiTheme="minorHAnsi" w:cstheme="minorHAnsi"/>
        </w:rPr>
      </w:pPr>
      <w:r w:rsidRPr="001E6ECA">
        <w:rPr>
          <w:rFonts w:asciiTheme="minorHAnsi" w:hAnsiTheme="minorHAnsi" w:cstheme="minorHAnsi"/>
        </w:rPr>
        <w:t>Culture media is useful to isolate and identify microorganisms from various sites in the human body. This culture media table will help you learn about the various general media used in a public health or clinical microbiology laboratory. The table has basic culture media you will use as you process a specimen in the laboratory or work with an isolate sent to you from a clinical or reference laboratory.</w:t>
      </w:r>
    </w:p>
    <w:p w14:paraId="731AC2D1" w14:textId="77777777" w:rsidR="00C243C6" w:rsidRPr="001E6ECA" w:rsidRDefault="00C243C6" w:rsidP="000F5A66">
      <w:pPr>
        <w:pStyle w:val="BodyText"/>
        <w:ind w:left="432" w:right="432"/>
        <w:rPr>
          <w:rFonts w:asciiTheme="minorHAnsi" w:hAnsiTheme="minorHAnsi" w:cstheme="minorHAnsi"/>
          <w:sz w:val="29"/>
        </w:rPr>
      </w:pPr>
    </w:p>
    <w:p w14:paraId="0EB4E8BB" w14:textId="77777777" w:rsidR="00906FF7" w:rsidRPr="001E6ECA" w:rsidRDefault="00906FF7" w:rsidP="00906FF7">
      <w:pPr>
        <w:ind w:left="2160"/>
        <w:jc w:val="center"/>
        <w:rPr>
          <w:rFonts w:asciiTheme="minorHAnsi" w:hAnsiTheme="minorHAnsi" w:cstheme="minorHAnsi"/>
          <w:b/>
          <w:bCs/>
          <w:sz w:val="20"/>
          <w:szCs w:val="20"/>
        </w:rPr>
      </w:pPr>
    </w:p>
    <w:tbl>
      <w:tblPr>
        <w:tblW w:w="0" w:type="auto"/>
        <w:tblInd w:w="602" w:type="dxa"/>
        <w:shd w:val="clear" w:color="auto" w:fill="FFFFFF"/>
        <w:tblLook w:val="04A0" w:firstRow="1" w:lastRow="0" w:firstColumn="1" w:lastColumn="0" w:noHBand="0" w:noVBand="1"/>
      </w:tblPr>
      <w:tblGrid>
        <w:gridCol w:w="4678"/>
        <w:gridCol w:w="1260"/>
        <w:gridCol w:w="1261"/>
        <w:gridCol w:w="1261"/>
        <w:gridCol w:w="1261"/>
      </w:tblGrid>
      <w:tr w:rsidR="00906FF7" w:rsidRPr="001E6ECA" w14:paraId="31A2B10F" w14:textId="77777777" w:rsidTr="000C2F9B">
        <w:trPr>
          <w:trHeight w:val="432"/>
        </w:trPr>
        <w:tc>
          <w:tcPr>
            <w:tcW w:w="4678" w:type="dxa"/>
            <w:tcBorders>
              <w:top w:val="single" w:sz="8" w:space="0" w:color="auto"/>
              <w:left w:val="single" w:sz="8" w:space="0" w:color="auto"/>
              <w:bottom w:val="single" w:sz="8" w:space="0" w:color="auto"/>
              <w:right w:val="single" w:sz="8" w:space="0" w:color="auto"/>
            </w:tcBorders>
            <w:shd w:val="clear" w:color="auto" w:fill="F2F2F2"/>
            <w:hideMark/>
          </w:tcPr>
          <w:p w14:paraId="4D50F652" w14:textId="77777777" w:rsidR="00906FF7" w:rsidRPr="001E6ECA" w:rsidRDefault="00906FF7" w:rsidP="00906FF7">
            <w:pPr>
              <w:pStyle w:val="NormalWeb"/>
              <w:spacing w:before="40"/>
              <w:jc w:val="center"/>
              <w:rPr>
                <w:rFonts w:asciiTheme="minorHAnsi" w:eastAsiaTheme="minorHAnsi" w:hAnsiTheme="minorHAnsi" w:cstheme="minorHAnsi"/>
                <w:sz w:val="20"/>
                <w:szCs w:val="20"/>
              </w:rPr>
            </w:pPr>
            <w:r w:rsidRPr="001E6ECA">
              <w:rPr>
                <w:rFonts w:asciiTheme="minorHAnsi" w:hAnsiTheme="minorHAnsi" w:cstheme="minorHAnsi"/>
                <w:b/>
                <w:bCs/>
                <w:color w:val="2F5496"/>
                <w:sz w:val="20"/>
                <w:szCs w:val="20"/>
              </w:rPr>
              <w:t>Media</w:t>
            </w:r>
          </w:p>
        </w:tc>
        <w:tc>
          <w:tcPr>
            <w:tcW w:w="1260" w:type="dxa"/>
            <w:tcBorders>
              <w:top w:val="single" w:sz="8" w:space="0" w:color="auto"/>
              <w:left w:val="nil"/>
              <w:bottom w:val="single" w:sz="8" w:space="0" w:color="auto"/>
              <w:right w:val="single" w:sz="8" w:space="0" w:color="auto"/>
            </w:tcBorders>
            <w:shd w:val="clear" w:color="auto" w:fill="F2F2F2"/>
            <w:hideMark/>
          </w:tcPr>
          <w:p w14:paraId="36067DF5" w14:textId="77777777" w:rsidR="00906FF7" w:rsidRPr="001E6ECA" w:rsidRDefault="00906FF7" w:rsidP="00906FF7">
            <w:pPr>
              <w:pStyle w:val="NormalWeb"/>
              <w:spacing w:before="40"/>
              <w:jc w:val="center"/>
              <w:rPr>
                <w:rFonts w:asciiTheme="minorHAnsi" w:hAnsiTheme="minorHAnsi" w:cstheme="minorHAnsi"/>
                <w:sz w:val="20"/>
                <w:szCs w:val="20"/>
              </w:rPr>
            </w:pPr>
            <w:r w:rsidRPr="001E6ECA">
              <w:rPr>
                <w:rFonts w:asciiTheme="minorHAnsi" w:hAnsiTheme="minorHAnsi" w:cstheme="minorHAnsi"/>
                <w:b/>
                <w:bCs/>
                <w:color w:val="2F5496"/>
                <w:sz w:val="20"/>
                <w:szCs w:val="20"/>
              </w:rPr>
              <w:t>Enrichment</w:t>
            </w:r>
          </w:p>
        </w:tc>
        <w:tc>
          <w:tcPr>
            <w:tcW w:w="1261" w:type="dxa"/>
            <w:tcBorders>
              <w:top w:val="single" w:sz="8" w:space="0" w:color="auto"/>
              <w:left w:val="nil"/>
              <w:bottom w:val="single" w:sz="8" w:space="0" w:color="auto"/>
              <w:right w:val="single" w:sz="8" w:space="0" w:color="auto"/>
            </w:tcBorders>
            <w:shd w:val="clear" w:color="auto" w:fill="F2F2F2"/>
            <w:hideMark/>
          </w:tcPr>
          <w:p w14:paraId="321AF580" w14:textId="77777777" w:rsidR="00906FF7" w:rsidRPr="001E6ECA" w:rsidRDefault="00906FF7" w:rsidP="00906FF7">
            <w:pPr>
              <w:pStyle w:val="NormalWeb"/>
              <w:spacing w:before="40"/>
              <w:jc w:val="center"/>
              <w:rPr>
                <w:rFonts w:asciiTheme="minorHAnsi" w:hAnsiTheme="minorHAnsi" w:cstheme="minorHAnsi"/>
                <w:sz w:val="20"/>
                <w:szCs w:val="20"/>
              </w:rPr>
            </w:pPr>
            <w:r w:rsidRPr="001E6ECA">
              <w:rPr>
                <w:rFonts w:asciiTheme="minorHAnsi" w:hAnsiTheme="minorHAnsi" w:cstheme="minorHAnsi"/>
                <w:b/>
                <w:bCs/>
                <w:color w:val="2F5496"/>
                <w:sz w:val="20"/>
                <w:szCs w:val="20"/>
              </w:rPr>
              <w:t>Selective</w:t>
            </w:r>
          </w:p>
        </w:tc>
        <w:tc>
          <w:tcPr>
            <w:tcW w:w="1261" w:type="dxa"/>
            <w:tcBorders>
              <w:top w:val="single" w:sz="8" w:space="0" w:color="auto"/>
              <w:left w:val="nil"/>
              <w:bottom w:val="single" w:sz="8" w:space="0" w:color="auto"/>
              <w:right w:val="single" w:sz="8" w:space="0" w:color="auto"/>
            </w:tcBorders>
            <w:shd w:val="clear" w:color="auto" w:fill="F2F2F2"/>
            <w:hideMark/>
          </w:tcPr>
          <w:p w14:paraId="4F48ECA4" w14:textId="77777777" w:rsidR="00906FF7" w:rsidRPr="001E6ECA" w:rsidRDefault="00906FF7" w:rsidP="00906FF7">
            <w:pPr>
              <w:pStyle w:val="NormalWeb"/>
              <w:spacing w:before="40"/>
              <w:jc w:val="center"/>
              <w:rPr>
                <w:rFonts w:asciiTheme="minorHAnsi" w:hAnsiTheme="minorHAnsi" w:cstheme="minorHAnsi"/>
                <w:sz w:val="20"/>
                <w:szCs w:val="20"/>
              </w:rPr>
            </w:pPr>
            <w:r w:rsidRPr="001E6ECA">
              <w:rPr>
                <w:rFonts w:asciiTheme="minorHAnsi" w:hAnsiTheme="minorHAnsi" w:cstheme="minorHAnsi"/>
                <w:b/>
                <w:bCs/>
                <w:color w:val="2F5496"/>
                <w:sz w:val="20"/>
                <w:szCs w:val="20"/>
              </w:rPr>
              <w:t>Differential</w:t>
            </w:r>
          </w:p>
        </w:tc>
        <w:tc>
          <w:tcPr>
            <w:tcW w:w="1261" w:type="dxa"/>
            <w:tcBorders>
              <w:top w:val="single" w:sz="8" w:space="0" w:color="auto"/>
              <w:left w:val="nil"/>
              <w:bottom w:val="single" w:sz="8" w:space="0" w:color="auto"/>
              <w:right w:val="single" w:sz="8" w:space="0" w:color="auto"/>
            </w:tcBorders>
            <w:shd w:val="clear" w:color="auto" w:fill="F2F2F2"/>
            <w:tcMar>
              <w:top w:w="0" w:type="dxa"/>
              <w:left w:w="0" w:type="dxa"/>
              <w:bottom w:w="0" w:type="dxa"/>
              <w:right w:w="0" w:type="dxa"/>
            </w:tcMar>
            <w:hideMark/>
          </w:tcPr>
          <w:p w14:paraId="3BAB31CF" w14:textId="77777777" w:rsidR="00906FF7" w:rsidRPr="001E6ECA" w:rsidRDefault="00906FF7" w:rsidP="00906FF7">
            <w:pPr>
              <w:pStyle w:val="NormalWeb"/>
              <w:spacing w:before="40"/>
              <w:jc w:val="center"/>
              <w:rPr>
                <w:rFonts w:asciiTheme="minorHAnsi" w:hAnsiTheme="minorHAnsi" w:cstheme="minorHAnsi"/>
                <w:sz w:val="20"/>
                <w:szCs w:val="20"/>
              </w:rPr>
            </w:pPr>
            <w:r w:rsidRPr="001E6ECA">
              <w:rPr>
                <w:rFonts w:asciiTheme="minorHAnsi" w:hAnsiTheme="minorHAnsi" w:cstheme="minorHAnsi"/>
                <w:b/>
                <w:bCs/>
                <w:color w:val="2F5496"/>
                <w:sz w:val="20"/>
                <w:szCs w:val="20"/>
              </w:rPr>
              <w:t>Enriched</w:t>
            </w:r>
          </w:p>
        </w:tc>
      </w:tr>
      <w:tr w:rsidR="00906FF7" w:rsidRPr="001E6ECA" w14:paraId="401E3F92"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496F64A4"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Anaerobe Blood Agar (</w:t>
            </w:r>
            <w:proofErr w:type="spellStart"/>
            <w:r w:rsidRPr="001E6ECA">
              <w:rPr>
                <w:rFonts w:asciiTheme="minorHAnsi" w:hAnsiTheme="minorHAnsi" w:cstheme="minorHAnsi"/>
                <w:sz w:val="20"/>
                <w:szCs w:val="20"/>
              </w:rPr>
              <w:t>AnaBAP</w:t>
            </w:r>
            <w:proofErr w:type="spellEnd"/>
            <w:r w:rsidRPr="001E6ECA">
              <w:rPr>
                <w:rFonts w:asciiTheme="minorHAnsi" w:hAnsiTheme="minorHAnsi" w:cstheme="minorHAnsi"/>
                <w:sz w:val="20"/>
                <w:szCs w:val="20"/>
              </w:rPr>
              <w:t>)</w:t>
            </w:r>
          </w:p>
        </w:tc>
        <w:tc>
          <w:tcPr>
            <w:tcW w:w="1260" w:type="dxa"/>
            <w:tcBorders>
              <w:top w:val="nil"/>
              <w:left w:val="nil"/>
              <w:bottom w:val="single" w:sz="8" w:space="0" w:color="auto"/>
              <w:right w:val="single" w:sz="8" w:space="0" w:color="auto"/>
            </w:tcBorders>
            <w:shd w:val="clear" w:color="auto" w:fill="FFFFFF"/>
            <w:hideMark/>
          </w:tcPr>
          <w:p w14:paraId="5174B966" w14:textId="77777777" w:rsidR="00906FF7" w:rsidRPr="001E6ECA" w:rsidRDefault="00906FF7" w:rsidP="00906FF7">
            <w:pPr>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05F96562" w14:textId="7E6E6040"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4BB32696"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32DC14FF"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r>
      <w:tr w:rsidR="00906FF7" w:rsidRPr="001E6ECA" w14:paraId="0B30FD12"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6379A212"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Blood Agar (BAP) also called Sheep’s Blood Agar (SBA)</w:t>
            </w:r>
          </w:p>
        </w:tc>
        <w:tc>
          <w:tcPr>
            <w:tcW w:w="1260" w:type="dxa"/>
            <w:tcBorders>
              <w:top w:val="nil"/>
              <w:left w:val="nil"/>
              <w:bottom w:val="single" w:sz="8" w:space="0" w:color="auto"/>
              <w:right w:val="single" w:sz="8" w:space="0" w:color="auto"/>
            </w:tcBorders>
            <w:shd w:val="clear" w:color="auto" w:fill="FFFFFF"/>
            <w:hideMark/>
          </w:tcPr>
          <w:p w14:paraId="4C4B8B2B" w14:textId="77777777" w:rsidR="00906FF7" w:rsidRPr="001E6ECA" w:rsidRDefault="00906FF7" w:rsidP="00906FF7">
            <w:pPr>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0926C96A" w14:textId="6B6F7A99"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3009A45A"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7CF2D70D"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r>
      <w:tr w:rsidR="00906FF7" w:rsidRPr="001E6ECA" w14:paraId="0F80819F"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71694C04"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Campylobacter Agar (CAMPY)</w:t>
            </w:r>
          </w:p>
        </w:tc>
        <w:tc>
          <w:tcPr>
            <w:tcW w:w="1260" w:type="dxa"/>
            <w:tcBorders>
              <w:top w:val="nil"/>
              <w:left w:val="nil"/>
              <w:bottom w:val="single" w:sz="8" w:space="0" w:color="auto"/>
              <w:right w:val="single" w:sz="8" w:space="0" w:color="auto"/>
            </w:tcBorders>
            <w:shd w:val="clear" w:color="auto" w:fill="FFFFFF"/>
            <w:hideMark/>
          </w:tcPr>
          <w:p w14:paraId="6F96234C" w14:textId="77777777" w:rsidR="00906FF7" w:rsidRPr="001E6ECA" w:rsidRDefault="00906FF7" w:rsidP="00906FF7">
            <w:pPr>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6DD4FF89"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1F5C1E63" w14:textId="2EBF2975"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2C0679EF" w14:textId="76A63A4D" w:rsidR="00906FF7" w:rsidRPr="001E6ECA" w:rsidRDefault="00906FF7" w:rsidP="00906FF7">
            <w:pPr>
              <w:pStyle w:val="NormalWeb"/>
              <w:jc w:val="center"/>
              <w:rPr>
                <w:rFonts w:asciiTheme="minorHAnsi" w:hAnsiTheme="minorHAnsi" w:cstheme="minorHAnsi"/>
                <w:sz w:val="20"/>
                <w:szCs w:val="20"/>
              </w:rPr>
            </w:pPr>
          </w:p>
        </w:tc>
      </w:tr>
      <w:tr w:rsidR="00906FF7" w:rsidRPr="001E6ECA" w14:paraId="50EDC1E9"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4FF9624A"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Chocolate Agar (CHOC)</w:t>
            </w:r>
          </w:p>
        </w:tc>
        <w:tc>
          <w:tcPr>
            <w:tcW w:w="1260" w:type="dxa"/>
            <w:tcBorders>
              <w:top w:val="nil"/>
              <w:left w:val="nil"/>
              <w:bottom w:val="single" w:sz="8" w:space="0" w:color="auto"/>
              <w:right w:val="single" w:sz="8" w:space="0" w:color="auto"/>
            </w:tcBorders>
            <w:shd w:val="clear" w:color="auto" w:fill="FFFFFF"/>
            <w:hideMark/>
          </w:tcPr>
          <w:p w14:paraId="2D3C8D32" w14:textId="77777777" w:rsidR="00906FF7" w:rsidRPr="001E6ECA" w:rsidRDefault="00906FF7" w:rsidP="00906FF7">
            <w:pPr>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0701889D" w14:textId="6217A324"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60E2B385" w14:textId="3FDA8FFE"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740DCFE7"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r>
      <w:tr w:rsidR="00906FF7" w:rsidRPr="001E6ECA" w14:paraId="0C9C44EC"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4C34DE30" w14:textId="77777777" w:rsidR="00906FF7" w:rsidRPr="001E6ECA" w:rsidRDefault="00906FF7" w:rsidP="00906FF7">
            <w:pPr>
              <w:pStyle w:val="NormalWeb"/>
              <w:jc w:val="center"/>
              <w:rPr>
                <w:rFonts w:asciiTheme="minorHAnsi" w:hAnsiTheme="minorHAnsi" w:cstheme="minorHAnsi"/>
                <w:sz w:val="20"/>
                <w:szCs w:val="20"/>
              </w:rPr>
            </w:pPr>
            <w:proofErr w:type="spellStart"/>
            <w:r w:rsidRPr="001E6ECA">
              <w:rPr>
                <w:rFonts w:asciiTheme="minorHAnsi" w:hAnsiTheme="minorHAnsi" w:cstheme="minorHAnsi"/>
                <w:sz w:val="20"/>
                <w:szCs w:val="20"/>
              </w:rPr>
              <w:t>CHROMAgar</w:t>
            </w:r>
            <w:proofErr w:type="spellEnd"/>
            <w:r w:rsidRPr="001E6ECA">
              <w:rPr>
                <w:rFonts w:asciiTheme="minorHAnsi" w:hAnsiTheme="minorHAnsi" w:cstheme="minorHAnsi"/>
                <w:sz w:val="20"/>
                <w:szCs w:val="20"/>
              </w:rPr>
              <w:t xml:space="preserve"> or Chromogenic Agar</w:t>
            </w:r>
          </w:p>
        </w:tc>
        <w:tc>
          <w:tcPr>
            <w:tcW w:w="1260" w:type="dxa"/>
            <w:tcBorders>
              <w:top w:val="nil"/>
              <w:left w:val="nil"/>
              <w:bottom w:val="single" w:sz="8" w:space="0" w:color="auto"/>
              <w:right w:val="single" w:sz="8" w:space="0" w:color="auto"/>
            </w:tcBorders>
            <w:shd w:val="clear" w:color="auto" w:fill="FFFFFF"/>
            <w:hideMark/>
          </w:tcPr>
          <w:p w14:paraId="233CA969" w14:textId="77777777" w:rsidR="00906FF7" w:rsidRPr="001E6ECA" w:rsidRDefault="00906FF7" w:rsidP="00906FF7">
            <w:pPr>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693BF00B"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3B74BA1A"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081444B3" w14:textId="3ED2DD0A" w:rsidR="00906FF7" w:rsidRPr="001E6ECA" w:rsidRDefault="00906FF7" w:rsidP="00906FF7">
            <w:pPr>
              <w:pStyle w:val="NormalWeb"/>
              <w:jc w:val="center"/>
              <w:rPr>
                <w:rFonts w:asciiTheme="minorHAnsi" w:hAnsiTheme="minorHAnsi" w:cstheme="minorHAnsi"/>
                <w:sz w:val="20"/>
                <w:szCs w:val="20"/>
              </w:rPr>
            </w:pPr>
          </w:p>
        </w:tc>
      </w:tr>
      <w:tr w:rsidR="00906FF7" w:rsidRPr="001E6ECA" w14:paraId="5BE6E450"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620CC68F"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Columbia colistin-nalidixic acid (CNA)</w:t>
            </w:r>
          </w:p>
        </w:tc>
        <w:tc>
          <w:tcPr>
            <w:tcW w:w="1260" w:type="dxa"/>
            <w:tcBorders>
              <w:top w:val="nil"/>
              <w:left w:val="nil"/>
              <w:bottom w:val="single" w:sz="8" w:space="0" w:color="auto"/>
              <w:right w:val="single" w:sz="8" w:space="0" w:color="auto"/>
            </w:tcBorders>
            <w:shd w:val="clear" w:color="auto" w:fill="FFFFFF"/>
            <w:hideMark/>
          </w:tcPr>
          <w:p w14:paraId="1F2A37F7" w14:textId="77777777" w:rsidR="00906FF7" w:rsidRPr="001E6ECA" w:rsidRDefault="00906FF7" w:rsidP="00906FF7">
            <w:pPr>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31B1B44E"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095EE94F"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19292E6E" w14:textId="3A769356" w:rsidR="00906FF7" w:rsidRPr="001E6ECA" w:rsidRDefault="00906FF7" w:rsidP="00906FF7">
            <w:pPr>
              <w:pStyle w:val="NormalWeb"/>
              <w:jc w:val="center"/>
              <w:rPr>
                <w:rFonts w:asciiTheme="minorHAnsi" w:hAnsiTheme="minorHAnsi" w:cstheme="minorHAnsi"/>
                <w:sz w:val="20"/>
                <w:szCs w:val="20"/>
              </w:rPr>
            </w:pPr>
          </w:p>
        </w:tc>
      </w:tr>
      <w:tr w:rsidR="00906FF7" w:rsidRPr="001E6ECA" w14:paraId="7CC32DDD"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43D1AD4D"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Gram Negative (GN) Broth/Selenite F (SF) Broth</w:t>
            </w:r>
          </w:p>
        </w:tc>
        <w:tc>
          <w:tcPr>
            <w:tcW w:w="1260" w:type="dxa"/>
            <w:tcBorders>
              <w:top w:val="nil"/>
              <w:left w:val="nil"/>
              <w:bottom w:val="single" w:sz="8" w:space="0" w:color="auto"/>
              <w:right w:val="single" w:sz="8" w:space="0" w:color="auto"/>
            </w:tcBorders>
            <w:shd w:val="clear" w:color="auto" w:fill="FFFFFF"/>
            <w:hideMark/>
          </w:tcPr>
          <w:p w14:paraId="5DF22D73"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2EC683BF"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10B9109B" w14:textId="71FF27C0"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26BEB219" w14:textId="64A4E4F6" w:rsidR="00906FF7" w:rsidRPr="001E6ECA" w:rsidRDefault="00906FF7" w:rsidP="00906FF7">
            <w:pPr>
              <w:pStyle w:val="NormalWeb"/>
              <w:jc w:val="center"/>
              <w:rPr>
                <w:rFonts w:asciiTheme="minorHAnsi" w:hAnsiTheme="minorHAnsi" w:cstheme="minorHAnsi"/>
                <w:sz w:val="20"/>
                <w:szCs w:val="20"/>
              </w:rPr>
            </w:pPr>
          </w:p>
        </w:tc>
      </w:tr>
      <w:tr w:rsidR="00906FF7" w:rsidRPr="001E6ECA" w14:paraId="42BD1D21"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66C36DBF"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Hektoen enteric Agar (HEK, HE or HEA)</w:t>
            </w:r>
          </w:p>
        </w:tc>
        <w:tc>
          <w:tcPr>
            <w:tcW w:w="1260" w:type="dxa"/>
            <w:tcBorders>
              <w:top w:val="nil"/>
              <w:left w:val="nil"/>
              <w:bottom w:val="single" w:sz="8" w:space="0" w:color="auto"/>
              <w:right w:val="single" w:sz="8" w:space="0" w:color="auto"/>
            </w:tcBorders>
            <w:shd w:val="clear" w:color="auto" w:fill="FFFFFF"/>
            <w:hideMark/>
          </w:tcPr>
          <w:p w14:paraId="725618F7" w14:textId="24F0A715"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6C08C11A"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26E4E893"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36BB190F" w14:textId="3F4691D1" w:rsidR="00906FF7" w:rsidRPr="001E6ECA" w:rsidRDefault="00906FF7" w:rsidP="00906FF7">
            <w:pPr>
              <w:pStyle w:val="NormalWeb"/>
              <w:jc w:val="center"/>
              <w:rPr>
                <w:rFonts w:asciiTheme="minorHAnsi" w:hAnsiTheme="minorHAnsi" w:cstheme="minorHAnsi"/>
                <w:sz w:val="20"/>
                <w:szCs w:val="20"/>
              </w:rPr>
            </w:pPr>
          </w:p>
        </w:tc>
      </w:tr>
      <w:tr w:rsidR="00906FF7" w:rsidRPr="001E6ECA" w14:paraId="50CACA1A"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6C135C2B"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MacConkey Agar (MAC)</w:t>
            </w:r>
          </w:p>
        </w:tc>
        <w:tc>
          <w:tcPr>
            <w:tcW w:w="1260" w:type="dxa"/>
            <w:tcBorders>
              <w:top w:val="nil"/>
              <w:left w:val="nil"/>
              <w:bottom w:val="single" w:sz="8" w:space="0" w:color="auto"/>
              <w:right w:val="single" w:sz="8" w:space="0" w:color="auto"/>
            </w:tcBorders>
            <w:shd w:val="clear" w:color="auto" w:fill="FFFFFF"/>
            <w:hideMark/>
          </w:tcPr>
          <w:p w14:paraId="3DC3CE04" w14:textId="1154D9D1"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1BC3349D"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2AC6379D"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11504DF1" w14:textId="7F34E710" w:rsidR="00906FF7" w:rsidRPr="001E6ECA" w:rsidRDefault="00906FF7" w:rsidP="00906FF7">
            <w:pPr>
              <w:pStyle w:val="NormalWeb"/>
              <w:jc w:val="center"/>
              <w:rPr>
                <w:rFonts w:asciiTheme="minorHAnsi" w:hAnsiTheme="minorHAnsi" w:cstheme="minorHAnsi"/>
                <w:sz w:val="20"/>
                <w:szCs w:val="20"/>
              </w:rPr>
            </w:pPr>
          </w:p>
        </w:tc>
      </w:tr>
      <w:tr w:rsidR="00906FF7" w:rsidRPr="001E6ECA" w14:paraId="587E3315"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0EB82017"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Mac-Sorbitol (Sorbitol-MAC) for E. coli 0157 Agar (SMAC)</w:t>
            </w:r>
          </w:p>
        </w:tc>
        <w:tc>
          <w:tcPr>
            <w:tcW w:w="1260" w:type="dxa"/>
            <w:tcBorders>
              <w:top w:val="nil"/>
              <w:left w:val="nil"/>
              <w:bottom w:val="single" w:sz="8" w:space="0" w:color="auto"/>
              <w:right w:val="single" w:sz="8" w:space="0" w:color="auto"/>
            </w:tcBorders>
            <w:shd w:val="clear" w:color="auto" w:fill="FFFFFF"/>
            <w:hideMark/>
          </w:tcPr>
          <w:p w14:paraId="48B3C143" w14:textId="2B913D3C"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3309F5F1"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202CE6C9"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759E6463" w14:textId="7DE6FA57" w:rsidR="00906FF7" w:rsidRPr="001E6ECA" w:rsidRDefault="00906FF7" w:rsidP="00906FF7">
            <w:pPr>
              <w:pStyle w:val="NormalWeb"/>
              <w:jc w:val="center"/>
              <w:rPr>
                <w:rFonts w:asciiTheme="minorHAnsi" w:hAnsiTheme="minorHAnsi" w:cstheme="minorHAnsi"/>
                <w:sz w:val="20"/>
                <w:szCs w:val="20"/>
              </w:rPr>
            </w:pPr>
          </w:p>
        </w:tc>
      </w:tr>
      <w:tr w:rsidR="00906FF7" w:rsidRPr="001E6ECA" w14:paraId="4CC98F0B"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7C7A960D"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Phenylethyl Alcohol Agar (PEA)</w:t>
            </w:r>
          </w:p>
        </w:tc>
        <w:tc>
          <w:tcPr>
            <w:tcW w:w="1260" w:type="dxa"/>
            <w:tcBorders>
              <w:top w:val="nil"/>
              <w:left w:val="nil"/>
              <w:bottom w:val="single" w:sz="8" w:space="0" w:color="auto"/>
              <w:right w:val="single" w:sz="8" w:space="0" w:color="auto"/>
            </w:tcBorders>
            <w:shd w:val="clear" w:color="auto" w:fill="FFFFFF"/>
            <w:hideMark/>
          </w:tcPr>
          <w:p w14:paraId="05DB605F" w14:textId="77777777" w:rsidR="00906FF7" w:rsidRPr="001E6ECA" w:rsidRDefault="00906FF7" w:rsidP="00906FF7">
            <w:pPr>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4C0CC280"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208E85DD" w14:textId="77777777" w:rsidR="00906FF7" w:rsidRPr="001E6ECA" w:rsidRDefault="00906FF7" w:rsidP="00906FF7">
            <w:pPr>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16B22F34" w14:textId="211EC9C1" w:rsidR="00906FF7" w:rsidRPr="001E6ECA" w:rsidRDefault="00906FF7" w:rsidP="00906FF7">
            <w:pPr>
              <w:pStyle w:val="NormalWeb"/>
              <w:jc w:val="center"/>
              <w:rPr>
                <w:rFonts w:asciiTheme="minorHAnsi" w:hAnsiTheme="minorHAnsi" w:cstheme="minorHAnsi"/>
                <w:sz w:val="20"/>
                <w:szCs w:val="20"/>
              </w:rPr>
            </w:pPr>
          </w:p>
        </w:tc>
      </w:tr>
      <w:tr w:rsidR="00906FF7" w:rsidRPr="001E6ECA" w14:paraId="7E89F60A"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6B8178D4"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Salmonella-Shigella Agar (SS)</w:t>
            </w:r>
          </w:p>
        </w:tc>
        <w:tc>
          <w:tcPr>
            <w:tcW w:w="1260" w:type="dxa"/>
            <w:tcBorders>
              <w:top w:val="nil"/>
              <w:left w:val="nil"/>
              <w:bottom w:val="single" w:sz="8" w:space="0" w:color="auto"/>
              <w:right w:val="single" w:sz="8" w:space="0" w:color="auto"/>
            </w:tcBorders>
            <w:shd w:val="clear" w:color="auto" w:fill="FFFFFF"/>
            <w:hideMark/>
          </w:tcPr>
          <w:p w14:paraId="61054311" w14:textId="352EA530"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21EACC4D"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47AC79BE"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3EC74AB6" w14:textId="5984057E" w:rsidR="00906FF7" w:rsidRPr="001E6ECA" w:rsidRDefault="00906FF7" w:rsidP="00906FF7">
            <w:pPr>
              <w:pStyle w:val="NormalWeb"/>
              <w:jc w:val="center"/>
              <w:rPr>
                <w:rFonts w:asciiTheme="minorHAnsi" w:hAnsiTheme="minorHAnsi" w:cstheme="minorHAnsi"/>
                <w:sz w:val="20"/>
                <w:szCs w:val="20"/>
              </w:rPr>
            </w:pPr>
          </w:p>
        </w:tc>
      </w:tr>
      <w:tr w:rsidR="00906FF7" w:rsidRPr="001E6ECA" w14:paraId="7DEAC7FA"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0DB0DA3E"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Thayer-Martin/Martin-Lewis Agar (TM/ML)</w:t>
            </w:r>
          </w:p>
        </w:tc>
        <w:tc>
          <w:tcPr>
            <w:tcW w:w="1260" w:type="dxa"/>
            <w:tcBorders>
              <w:top w:val="nil"/>
              <w:left w:val="nil"/>
              <w:bottom w:val="single" w:sz="8" w:space="0" w:color="auto"/>
              <w:right w:val="single" w:sz="8" w:space="0" w:color="auto"/>
            </w:tcBorders>
            <w:shd w:val="clear" w:color="auto" w:fill="FFFFFF"/>
            <w:hideMark/>
          </w:tcPr>
          <w:p w14:paraId="54B132B2" w14:textId="77777777" w:rsidR="00906FF7" w:rsidRPr="001E6ECA" w:rsidRDefault="00906FF7" w:rsidP="00906FF7">
            <w:pPr>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2CF2BD05"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774A20EF" w14:textId="38D3918F"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71DE72E6"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r>
      <w:tr w:rsidR="00906FF7" w:rsidRPr="001E6ECA" w14:paraId="1C227935"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3306CDB6"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Thioglycollate Broth (THIO)</w:t>
            </w:r>
          </w:p>
        </w:tc>
        <w:tc>
          <w:tcPr>
            <w:tcW w:w="1260" w:type="dxa"/>
            <w:tcBorders>
              <w:top w:val="nil"/>
              <w:left w:val="nil"/>
              <w:bottom w:val="single" w:sz="8" w:space="0" w:color="auto"/>
              <w:right w:val="single" w:sz="8" w:space="0" w:color="auto"/>
            </w:tcBorders>
            <w:shd w:val="clear" w:color="auto" w:fill="FFFFFF"/>
            <w:hideMark/>
          </w:tcPr>
          <w:p w14:paraId="270E9DC1"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76C6B865" w14:textId="2783EC2C"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409CFF3D" w14:textId="0B0829EE"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61F8AD6F" w14:textId="533D500C" w:rsidR="00906FF7" w:rsidRPr="001E6ECA" w:rsidRDefault="00906FF7" w:rsidP="00906FF7">
            <w:pPr>
              <w:pStyle w:val="NormalWeb"/>
              <w:jc w:val="center"/>
              <w:rPr>
                <w:rFonts w:asciiTheme="minorHAnsi" w:hAnsiTheme="minorHAnsi" w:cstheme="minorHAnsi"/>
                <w:sz w:val="20"/>
                <w:szCs w:val="20"/>
              </w:rPr>
            </w:pPr>
          </w:p>
        </w:tc>
      </w:tr>
      <w:tr w:rsidR="00906FF7" w:rsidRPr="001E6ECA" w14:paraId="4FC7240C" w14:textId="77777777" w:rsidTr="000C2F9B">
        <w:trPr>
          <w:trHeight w:val="432"/>
        </w:trPr>
        <w:tc>
          <w:tcPr>
            <w:tcW w:w="4678" w:type="dxa"/>
            <w:tcBorders>
              <w:top w:val="nil"/>
              <w:left w:val="single" w:sz="8" w:space="0" w:color="auto"/>
              <w:bottom w:val="single" w:sz="8" w:space="0" w:color="auto"/>
              <w:right w:val="single" w:sz="8" w:space="0" w:color="auto"/>
            </w:tcBorders>
            <w:shd w:val="clear" w:color="auto" w:fill="FFFFFF"/>
            <w:hideMark/>
          </w:tcPr>
          <w:p w14:paraId="71909FB9"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Thiosulfate Citrate Bile Salts-Sucrose Agar (TCBS)</w:t>
            </w:r>
          </w:p>
        </w:tc>
        <w:tc>
          <w:tcPr>
            <w:tcW w:w="1260" w:type="dxa"/>
            <w:tcBorders>
              <w:top w:val="nil"/>
              <w:left w:val="nil"/>
              <w:bottom w:val="single" w:sz="8" w:space="0" w:color="auto"/>
              <w:right w:val="single" w:sz="8" w:space="0" w:color="auto"/>
            </w:tcBorders>
            <w:shd w:val="clear" w:color="auto" w:fill="FFFFFF"/>
            <w:hideMark/>
          </w:tcPr>
          <w:p w14:paraId="544C6242" w14:textId="7234CC39" w:rsidR="00906FF7" w:rsidRPr="001E6ECA" w:rsidRDefault="00906FF7" w:rsidP="00906FF7">
            <w:pPr>
              <w:pStyle w:val="NormalWeb"/>
              <w:jc w:val="center"/>
              <w:rPr>
                <w:rFonts w:asciiTheme="minorHAnsi" w:hAnsiTheme="minorHAnsi" w:cstheme="minorHAnsi"/>
                <w:sz w:val="20"/>
                <w:szCs w:val="20"/>
              </w:rPr>
            </w:pPr>
          </w:p>
        </w:tc>
        <w:tc>
          <w:tcPr>
            <w:tcW w:w="1261" w:type="dxa"/>
            <w:tcBorders>
              <w:top w:val="nil"/>
              <w:left w:val="nil"/>
              <w:bottom w:val="single" w:sz="8" w:space="0" w:color="auto"/>
              <w:right w:val="single" w:sz="8" w:space="0" w:color="auto"/>
            </w:tcBorders>
            <w:shd w:val="clear" w:color="auto" w:fill="FFFFFF"/>
            <w:hideMark/>
          </w:tcPr>
          <w:p w14:paraId="1162671B"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hideMark/>
          </w:tcPr>
          <w:p w14:paraId="071A2438" w14:textId="77777777" w:rsidR="00906FF7" w:rsidRPr="001E6ECA" w:rsidRDefault="00906FF7" w:rsidP="00906FF7">
            <w:pPr>
              <w:pStyle w:val="NormalWeb"/>
              <w:jc w:val="center"/>
              <w:rPr>
                <w:rFonts w:asciiTheme="minorHAnsi" w:hAnsiTheme="minorHAnsi" w:cstheme="minorHAnsi"/>
                <w:sz w:val="20"/>
                <w:szCs w:val="20"/>
              </w:rPr>
            </w:pPr>
            <w:r w:rsidRPr="001E6ECA">
              <w:rPr>
                <w:rFonts w:asciiTheme="minorHAnsi" w:hAnsiTheme="minorHAnsi" w:cstheme="minorHAnsi"/>
                <w:sz w:val="20"/>
                <w:szCs w:val="20"/>
              </w:rPr>
              <w:t>X</w:t>
            </w:r>
          </w:p>
        </w:tc>
        <w:tc>
          <w:tcPr>
            <w:tcW w:w="1261"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14:paraId="10EC2EAC" w14:textId="6E8BAE2D" w:rsidR="00906FF7" w:rsidRPr="001E6ECA" w:rsidRDefault="00906FF7" w:rsidP="00906FF7">
            <w:pPr>
              <w:pStyle w:val="NormalWeb"/>
              <w:jc w:val="center"/>
              <w:rPr>
                <w:rFonts w:asciiTheme="minorHAnsi" w:hAnsiTheme="minorHAnsi" w:cstheme="minorHAnsi"/>
                <w:sz w:val="20"/>
                <w:szCs w:val="20"/>
              </w:rPr>
            </w:pPr>
          </w:p>
        </w:tc>
      </w:tr>
    </w:tbl>
    <w:p w14:paraId="706BC987" w14:textId="77777777" w:rsidR="000E75D1" w:rsidRPr="001E6ECA" w:rsidRDefault="000E75D1">
      <w:pPr>
        <w:pStyle w:val="BodyText"/>
        <w:ind w:left="0"/>
        <w:rPr>
          <w:rFonts w:asciiTheme="minorHAnsi" w:hAnsiTheme="minorHAnsi" w:cstheme="minorHAnsi"/>
        </w:rPr>
      </w:pPr>
    </w:p>
    <w:p w14:paraId="1EF77BAD" w14:textId="77777777" w:rsidR="009A5010" w:rsidRPr="001E6ECA" w:rsidRDefault="009A5010">
      <w:pPr>
        <w:pStyle w:val="BodyText"/>
        <w:ind w:left="0"/>
        <w:rPr>
          <w:rFonts w:asciiTheme="minorHAnsi" w:hAnsiTheme="minorHAnsi" w:cstheme="minorHAnsi"/>
        </w:rPr>
      </w:pPr>
    </w:p>
    <w:p w14:paraId="1EF77BAE" w14:textId="77777777" w:rsidR="009A5010" w:rsidRPr="001E6ECA" w:rsidRDefault="009A5010">
      <w:pPr>
        <w:pStyle w:val="BodyText"/>
        <w:ind w:left="0"/>
        <w:rPr>
          <w:rFonts w:asciiTheme="minorHAnsi" w:hAnsiTheme="minorHAnsi" w:cstheme="minorHAnsi"/>
        </w:rPr>
      </w:pPr>
    </w:p>
    <w:p w14:paraId="1EF77BAF" w14:textId="77777777" w:rsidR="009A5010" w:rsidRPr="001E6ECA" w:rsidRDefault="009A5010">
      <w:pPr>
        <w:pStyle w:val="BodyText"/>
        <w:ind w:left="0"/>
        <w:rPr>
          <w:rFonts w:asciiTheme="minorHAnsi" w:hAnsiTheme="minorHAnsi" w:cstheme="minorHAnsi"/>
        </w:rPr>
      </w:pPr>
    </w:p>
    <w:p w14:paraId="7E7EAE0C" w14:textId="77777777" w:rsidR="00BC1F57" w:rsidRPr="001E6ECA" w:rsidRDefault="00BC1F57" w:rsidP="000F5A66">
      <w:pPr>
        <w:pStyle w:val="BodyText"/>
        <w:ind w:left="720" w:right="720"/>
        <w:rPr>
          <w:rFonts w:asciiTheme="minorHAnsi" w:hAnsiTheme="minorHAnsi" w:cstheme="minorHAnsi"/>
        </w:rPr>
      </w:pPr>
    </w:p>
    <w:sectPr w:rsidR="00BC1F57" w:rsidRPr="001E6ECA" w:rsidSect="00BC1F57">
      <w:headerReference w:type="default" r:id="rId7"/>
      <w:footerReference w:type="default" r:id="rId8"/>
      <w:headerReference w:type="first" r:id="rId9"/>
      <w:footerReference w:type="first" r:id="rId10"/>
      <w:type w:val="continuous"/>
      <w:pgSz w:w="12240" w:h="15840"/>
      <w:pgMar w:top="380" w:right="260" w:bottom="280" w:left="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5245" w14:textId="77777777" w:rsidR="007A356C" w:rsidRDefault="007A356C" w:rsidP="00BC1F57">
      <w:r>
        <w:separator/>
      </w:r>
    </w:p>
  </w:endnote>
  <w:endnote w:type="continuationSeparator" w:id="0">
    <w:p w14:paraId="3DC23840" w14:textId="77777777" w:rsidR="007A356C" w:rsidRDefault="007A356C" w:rsidP="00BC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55A2" w14:textId="3077C397" w:rsidR="00C012E9" w:rsidRDefault="0018219C" w:rsidP="00C012E9">
    <w:pPr>
      <w:pStyle w:val="BodyText"/>
      <w:spacing w:before="148"/>
      <w:ind w:left="740" w:right="1036"/>
    </w:pPr>
    <w:r w:rsidRPr="0018219C">
      <w:t>This job aid is a component of the free, on-demand CDC training course “Basic Culture Media and Isolation Techniques: Microbiology Curriculum.”</w:t>
    </w:r>
    <w:r w:rsidR="00C012E9">
      <w:t xml:space="preserve"> Find the course at </w:t>
    </w:r>
    <w:hyperlink r:id="rId1">
      <w:r w:rsidR="00FD4971" w:rsidRPr="00FD4971">
        <w:t xml:space="preserve"> </w:t>
      </w:r>
      <w:r w:rsidR="00FD4971" w:rsidRPr="00FD4971">
        <w:rPr>
          <w:color w:val="800080"/>
          <w:u w:val="single" w:color="800080"/>
        </w:rPr>
        <w:t>https://reach.cdc.gov/training</w:t>
      </w:r>
      <w:r w:rsidR="00C012E9">
        <w:t>.</w:t>
      </w:r>
    </w:hyperlink>
  </w:p>
  <w:p w14:paraId="59AAF720" w14:textId="2F979E94" w:rsidR="00C012E9" w:rsidRDefault="00C012E9" w:rsidP="00C012E9">
    <w:pPr>
      <w:pStyle w:val="BodyText"/>
      <w:spacing w:before="148"/>
      <w:ind w:left="740" w:right="1036"/>
    </w:pPr>
    <w:r>
      <w:t>V23</w:t>
    </w:r>
    <w:r w:rsidR="0018219C">
      <w:t>157</w:t>
    </w:r>
  </w:p>
  <w:p w14:paraId="72B769BA" w14:textId="77777777" w:rsidR="00C012E9" w:rsidRDefault="00C0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E692" w14:textId="77777777" w:rsidR="000F5A66" w:rsidRDefault="000F5A66" w:rsidP="000F5A66">
    <w:pPr>
      <w:pStyle w:val="BodyText"/>
      <w:spacing w:before="148"/>
      <w:ind w:left="740" w:right="1036"/>
    </w:pPr>
    <w:bookmarkStart w:id="0" w:name="_Hlk168498453"/>
    <w:r w:rsidRPr="0018219C">
      <w:t>This job aid is a component of the free, on-demand CDC training course “Basic Culture Media and Isolation Techniques: Microbiology Curriculum.”</w:t>
    </w:r>
    <w:r>
      <w:t xml:space="preserve"> Find the course at </w:t>
    </w:r>
    <w:hyperlink r:id="rId1">
      <w:r w:rsidRPr="00FD4971">
        <w:t xml:space="preserve"> </w:t>
      </w:r>
      <w:r w:rsidRPr="00FD4971">
        <w:rPr>
          <w:color w:val="800080"/>
          <w:u w:val="single" w:color="800080"/>
        </w:rPr>
        <w:t>https://reach.cdc.gov/training</w:t>
      </w:r>
      <w:r>
        <w:t>.</w:t>
      </w:r>
    </w:hyperlink>
  </w:p>
  <w:bookmarkEnd w:id="0"/>
  <w:p w14:paraId="5610A414" w14:textId="77777777" w:rsidR="00CE0296" w:rsidRDefault="00CE0296" w:rsidP="00CE0296">
    <w:pPr>
      <w:pStyle w:val="BodyText"/>
      <w:spacing w:before="148"/>
      <w:ind w:left="740" w:right="1036"/>
    </w:pPr>
    <w:r>
      <w:t>v24158</w:t>
    </w:r>
  </w:p>
  <w:p w14:paraId="49394427" w14:textId="77777777" w:rsidR="000F5A66" w:rsidRDefault="000F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C2CD" w14:textId="77777777" w:rsidR="007A356C" w:rsidRDefault="007A356C" w:rsidP="00BC1F57">
      <w:r>
        <w:separator/>
      </w:r>
    </w:p>
  </w:footnote>
  <w:footnote w:type="continuationSeparator" w:id="0">
    <w:p w14:paraId="30F86F22" w14:textId="77777777" w:rsidR="007A356C" w:rsidRDefault="007A356C" w:rsidP="00BC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C6BE" w14:textId="77777777" w:rsidR="0079554B" w:rsidRPr="00EA3D77" w:rsidRDefault="0079554B" w:rsidP="0079554B">
    <w:pPr>
      <w:pStyle w:val="Header"/>
      <w:rPr>
        <w:sz w:val="28"/>
        <w:szCs w:val="28"/>
      </w:rPr>
    </w:pPr>
    <w:r>
      <w:rPr>
        <w:sz w:val="28"/>
        <w:szCs w:val="28"/>
      </w:rPr>
      <w:t>[</w:t>
    </w:r>
    <w:r w:rsidRPr="006C213E">
      <w:rPr>
        <w:sz w:val="28"/>
        <w:szCs w:val="28"/>
      </w:rPr>
      <w:t>Insert your agency information here</w:t>
    </w:r>
    <w:r>
      <w:rPr>
        <w:sz w:val="28"/>
        <w:szCs w:val="28"/>
      </w:rPr>
      <w:t>]</w:t>
    </w:r>
  </w:p>
  <w:p w14:paraId="6E01CD9C" w14:textId="1335AE06" w:rsidR="00BC1F57" w:rsidRDefault="00BC1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CBC1" w14:textId="77777777" w:rsidR="0079554B" w:rsidRPr="00EA3D77" w:rsidRDefault="0079554B" w:rsidP="0079554B">
    <w:pPr>
      <w:pStyle w:val="Header"/>
      <w:rPr>
        <w:sz w:val="28"/>
        <w:szCs w:val="28"/>
      </w:rPr>
    </w:pPr>
    <w:r>
      <w:rPr>
        <w:sz w:val="28"/>
        <w:szCs w:val="28"/>
      </w:rPr>
      <w:t>[</w:t>
    </w:r>
    <w:r w:rsidRPr="006C213E">
      <w:rPr>
        <w:sz w:val="28"/>
        <w:szCs w:val="28"/>
      </w:rPr>
      <w:t>Insert your agency information here</w:t>
    </w:r>
    <w:r>
      <w:rPr>
        <w:sz w:val="28"/>
        <w:szCs w:val="28"/>
      </w:rPr>
      <w:t>]</w:t>
    </w:r>
  </w:p>
  <w:p w14:paraId="0228E47C" w14:textId="1BD8652A" w:rsidR="00BC1F57" w:rsidRDefault="00BC1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26A7"/>
    <w:multiLevelType w:val="hybridMultilevel"/>
    <w:tmpl w:val="0082E15C"/>
    <w:lvl w:ilvl="0" w:tplc="3AA886DE">
      <w:start w:val="1"/>
      <w:numFmt w:val="decimal"/>
      <w:lvlText w:val="%1."/>
      <w:lvlJc w:val="left"/>
      <w:pPr>
        <w:ind w:left="1211" w:hanging="721"/>
      </w:pPr>
      <w:rPr>
        <w:rFonts w:ascii="Calibri" w:eastAsia="Calibri" w:hAnsi="Calibri" w:cs="Calibri" w:hint="default"/>
        <w:w w:val="100"/>
        <w:sz w:val="22"/>
        <w:szCs w:val="22"/>
      </w:rPr>
    </w:lvl>
    <w:lvl w:ilvl="1" w:tplc="7B4A5BA0">
      <w:numFmt w:val="bullet"/>
      <w:lvlText w:val="•"/>
      <w:lvlJc w:val="left"/>
      <w:pPr>
        <w:ind w:left="2264" w:hanging="721"/>
      </w:pPr>
      <w:rPr>
        <w:rFonts w:hint="default"/>
      </w:rPr>
    </w:lvl>
    <w:lvl w:ilvl="2" w:tplc="616E1242">
      <w:numFmt w:val="bullet"/>
      <w:lvlText w:val="•"/>
      <w:lvlJc w:val="left"/>
      <w:pPr>
        <w:ind w:left="3308" w:hanging="721"/>
      </w:pPr>
      <w:rPr>
        <w:rFonts w:hint="default"/>
      </w:rPr>
    </w:lvl>
    <w:lvl w:ilvl="3" w:tplc="BA365340">
      <w:numFmt w:val="bullet"/>
      <w:lvlText w:val="•"/>
      <w:lvlJc w:val="left"/>
      <w:pPr>
        <w:ind w:left="4352" w:hanging="721"/>
      </w:pPr>
      <w:rPr>
        <w:rFonts w:hint="default"/>
      </w:rPr>
    </w:lvl>
    <w:lvl w:ilvl="4" w:tplc="38F20F78">
      <w:numFmt w:val="bullet"/>
      <w:lvlText w:val="•"/>
      <w:lvlJc w:val="left"/>
      <w:pPr>
        <w:ind w:left="5396" w:hanging="721"/>
      </w:pPr>
      <w:rPr>
        <w:rFonts w:hint="default"/>
      </w:rPr>
    </w:lvl>
    <w:lvl w:ilvl="5" w:tplc="C0D05F20">
      <w:numFmt w:val="bullet"/>
      <w:lvlText w:val="•"/>
      <w:lvlJc w:val="left"/>
      <w:pPr>
        <w:ind w:left="6440" w:hanging="721"/>
      </w:pPr>
      <w:rPr>
        <w:rFonts w:hint="default"/>
      </w:rPr>
    </w:lvl>
    <w:lvl w:ilvl="6" w:tplc="AAEE1D2C">
      <w:numFmt w:val="bullet"/>
      <w:lvlText w:val="•"/>
      <w:lvlJc w:val="left"/>
      <w:pPr>
        <w:ind w:left="7484" w:hanging="721"/>
      </w:pPr>
      <w:rPr>
        <w:rFonts w:hint="default"/>
      </w:rPr>
    </w:lvl>
    <w:lvl w:ilvl="7" w:tplc="86141F9A">
      <w:numFmt w:val="bullet"/>
      <w:lvlText w:val="•"/>
      <w:lvlJc w:val="left"/>
      <w:pPr>
        <w:ind w:left="8528" w:hanging="721"/>
      </w:pPr>
      <w:rPr>
        <w:rFonts w:hint="default"/>
      </w:rPr>
    </w:lvl>
    <w:lvl w:ilvl="8" w:tplc="DB5E358C">
      <w:numFmt w:val="bullet"/>
      <w:lvlText w:val="•"/>
      <w:lvlJc w:val="left"/>
      <w:pPr>
        <w:ind w:left="9572" w:hanging="721"/>
      </w:pPr>
      <w:rPr>
        <w:rFonts w:hint="default"/>
      </w:rPr>
    </w:lvl>
  </w:abstractNum>
  <w:num w:numId="1" w16cid:durableId="12289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10"/>
    <w:rsid w:val="000C2F9B"/>
    <w:rsid w:val="000E75D1"/>
    <w:rsid w:val="000F5A66"/>
    <w:rsid w:val="0011422B"/>
    <w:rsid w:val="0018219C"/>
    <w:rsid w:val="001969E0"/>
    <w:rsid w:val="001B152B"/>
    <w:rsid w:val="001E6ECA"/>
    <w:rsid w:val="00211317"/>
    <w:rsid w:val="004B19E1"/>
    <w:rsid w:val="00553EE2"/>
    <w:rsid w:val="0057735D"/>
    <w:rsid w:val="0062665B"/>
    <w:rsid w:val="00772246"/>
    <w:rsid w:val="00783F41"/>
    <w:rsid w:val="0079182D"/>
    <w:rsid w:val="0079554B"/>
    <w:rsid w:val="007A356C"/>
    <w:rsid w:val="007E2924"/>
    <w:rsid w:val="00802993"/>
    <w:rsid w:val="00840391"/>
    <w:rsid w:val="008C71A8"/>
    <w:rsid w:val="008E5FAF"/>
    <w:rsid w:val="00906FF7"/>
    <w:rsid w:val="00951BFF"/>
    <w:rsid w:val="009971ED"/>
    <w:rsid w:val="009A5010"/>
    <w:rsid w:val="00AD2402"/>
    <w:rsid w:val="00B03689"/>
    <w:rsid w:val="00BC1F57"/>
    <w:rsid w:val="00C012E9"/>
    <w:rsid w:val="00C243C6"/>
    <w:rsid w:val="00CE0296"/>
    <w:rsid w:val="00DC3A65"/>
    <w:rsid w:val="00F008EF"/>
    <w:rsid w:val="00F56AB6"/>
    <w:rsid w:val="00F975D1"/>
    <w:rsid w:val="00FD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77B9D"/>
  <w15:docId w15:val="{1D349445-8919-451F-B418-3572EE4C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uiPriority w:val="9"/>
    <w:unhideWhenUsed/>
    <w:qFormat/>
    <w:rsid w:val="00906FF7"/>
    <w:pPr>
      <w:widowControl/>
      <w:autoSpaceDE/>
      <w:autoSpaceDN/>
      <w:outlineLvl w:val="2"/>
    </w:pPr>
    <w:rPr>
      <w:rFonts w:asciiTheme="minorHAnsi" w:eastAsia="Times New Roman" w:hAnsi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11"/>
    </w:pPr>
  </w:style>
  <w:style w:type="paragraph" w:styleId="ListParagraph">
    <w:name w:val="List Paragraph"/>
    <w:basedOn w:val="Normal"/>
    <w:uiPriority w:val="1"/>
    <w:qFormat/>
    <w:pPr>
      <w:ind w:left="1211" w:right="524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1F57"/>
    <w:pPr>
      <w:tabs>
        <w:tab w:val="center" w:pos="4680"/>
        <w:tab w:val="right" w:pos="9360"/>
      </w:tabs>
    </w:pPr>
  </w:style>
  <w:style w:type="character" w:customStyle="1" w:styleId="HeaderChar">
    <w:name w:val="Header Char"/>
    <w:basedOn w:val="DefaultParagraphFont"/>
    <w:link w:val="Header"/>
    <w:uiPriority w:val="99"/>
    <w:rsid w:val="00BC1F57"/>
    <w:rPr>
      <w:rFonts w:ascii="Calibri" w:eastAsia="Calibri" w:hAnsi="Calibri" w:cs="Calibri"/>
    </w:rPr>
  </w:style>
  <w:style w:type="paragraph" w:styleId="Footer">
    <w:name w:val="footer"/>
    <w:basedOn w:val="Normal"/>
    <w:link w:val="FooterChar"/>
    <w:uiPriority w:val="99"/>
    <w:unhideWhenUsed/>
    <w:rsid w:val="00BC1F57"/>
    <w:pPr>
      <w:tabs>
        <w:tab w:val="center" w:pos="4680"/>
        <w:tab w:val="right" w:pos="9360"/>
      </w:tabs>
    </w:pPr>
  </w:style>
  <w:style w:type="character" w:customStyle="1" w:styleId="FooterChar">
    <w:name w:val="Footer Char"/>
    <w:basedOn w:val="DefaultParagraphFont"/>
    <w:link w:val="Footer"/>
    <w:uiPriority w:val="99"/>
    <w:rsid w:val="00BC1F57"/>
    <w:rPr>
      <w:rFonts w:ascii="Calibri" w:eastAsia="Calibri" w:hAnsi="Calibri" w:cs="Calibri"/>
    </w:rPr>
  </w:style>
  <w:style w:type="paragraph" w:customStyle="1" w:styleId="Heading1Calibri">
    <w:name w:val="Heading 1 Calibri"/>
    <w:basedOn w:val="Normal"/>
    <w:link w:val="Heading1CalibriChar"/>
    <w:qFormat/>
    <w:rsid w:val="00F008EF"/>
    <w:pPr>
      <w:spacing w:before="224"/>
      <w:ind w:left="131"/>
    </w:pPr>
    <w:rPr>
      <w:rFonts w:ascii="Calibri Light"/>
      <w:b/>
      <w:bCs/>
      <w:color w:val="2C74B5"/>
      <w:sz w:val="28"/>
    </w:rPr>
  </w:style>
  <w:style w:type="paragraph" w:customStyle="1" w:styleId="Heading2Calibri">
    <w:name w:val="Heading 2 Calibri"/>
    <w:basedOn w:val="Normal"/>
    <w:link w:val="Heading2CalibriChar"/>
    <w:qFormat/>
    <w:rsid w:val="00211317"/>
    <w:pPr>
      <w:spacing w:before="169"/>
      <w:ind w:left="131"/>
    </w:pPr>
    <w:rPr>
      <w:rFonts w:asciiTheme="minorHAnsi" w:hAnsiTheme="minorHAnsi" w:cstheme="minorHAnsi"/>
      <w:b/>
      <w:bCs/>
      <w:color w:val="2C74B5"/>
      <w:sz w:val="24"/>
      <w:szCs w:val="24"/>
    </w:rPr>
  </w:style>
  <w:style w:type="character" w:customStyle="1" w:styleId="Heading1CalibriChar">
    <w:name w:val="Heading 1 Calibri Char"/>
    <w:basedOn w:val="DefaultParagraphFont"/>
    <w:link w:val="Heading1Calibri"/>
    <w:rsid w:val="00F008EF"/>
    <w:rPr>
      <w:rFonts w:ascii="Calibri Light" w:eastAsia="Calibri" w:hAnsi="Calibri" w:cs="Calibri"/>
      <w:b/>
      <w:bCs/>
      <w:color w:val="2C74B5"/>
      <w:sz w:val="28"/>
    </w:rPr>
  </w:style>
  <w:style w:type="character" w:customStyle="1" w:styleId="Heading2CalibriChar">
    <w:name w:val="Heading 2 Calibri Char"/>
    <w:basedOn w:val="DefaultParagraphFont"/>
    <w:link w:val="Heading2Calibri"/>
    <w:rsid w:val="00211317"/>
    <w:rPr>
      <w:rFonts w:eastAsia="Calibri" w:cstheme="minorHAnsi"/>
      <w:b/>
      <w:bCs/>
      <w:color w:val="2C74B5"/>
      <w:sz w:val="24"/>
      <w:szCs w:val="24"/>
    </w:rPr>
  </w:style>
  <w:style w:type="character" w:customStyle="1" w:styleId="Heading3Char">
    <w:name w:val="Heading 3 Char"/>
    <w:basedOn w:val="DefaultParagraphFont"/>
    <w:link w:val="Heading3"/>
    <w:uiPriority w:val="9"/>
    <w:rsid w:val="00906FF7"/>
    <w:rPr>
      <w:rFonts w:eastAsia="Times New Roman" w:cs="Calibri"/>
      <w:b/>
      <w:szCs w:val="24"/>
    </w:rPr>
  </w:style>
  <w:style w:type="table" w:styleId="TableGrid">
    <w:name w:val="Table Grid"/>
    <w:basedOn w:val="TableNormal"/>
    <w:uiPriority w:val="39"/>
    <w:rsid w:val="00906FF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6FF7"/>
    <w:pPr>
      <w:widowControl/>
      <w:autoSpaceDE/>
      <w:autoSpaceDN/>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E029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5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reach.cdc.gov/train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(CDC/OPHSS/CSELS/DLS)</dc:creator>
  <cp:lastModifiedBy>Waters, Sean (CDC/IOD/OLSS/CLSR)</cp:lastModifiedBy>
  <cp:revision>2</cp:revision>
  <dcterms:created xsi:type="dcterms:W3CDTF">2024-06-06T18:51:00Z</dcterms:created>
  <dcterms:modified xsi:type="dcterms:W3CDTF">2024-06-06T18:51:00Z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for Office 365</vt:lpwstr>
  </property>
  <property fmtid="{D5CDD505-2E9C-101B-9397-08002B2CF9AE}" pid="4" name="LastSaved">
    <vt:filetime>2020-09-15T00:00:00Z</vt:filetime>
  </property>
  <property fmtid="{D5CDD505-2E9C-101B-9397-08002B2CF9AE}" pid="5" name="GrammarlyDocumentId">
    <vt:lpwstr>8a7d96e3d99f8551fc8211760162f173bb6d7e5b6ac4bd941735c48f71eefcac</vt:lpwstr>
  </property>
  <property fmtid="{D5CDD505-2E9C-101B-9397-08002B2CF9AE}" pid="6" name="MSIP_Label_7b94a7b8-f06c-4dfe-bdcc-9b548fd58c31_Enabled">
    <vt:lpwstr>true</vt:lpwstr>
  </property>
  <property fmtid="{D5CDD505-2E9C-101B-9397-08002B2CF9AE}" pid="7" name="MSIP_Label_7b94a7b8-f06c-4dfe-bdcc-9b548fd58c31_SetDate">
    <vt:lpwstr>2023-11-29T14:25:57Z</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ActionId">
    <vt:lpwstr>09e1678a-388c-48df-a5ce-606d7dbdda62</vt:lpwstr>
  </property>
  <property fmtid="{D5CDD505-2E9C-101B-9397-08002B2CF9AE}" pid="12" name="MSIP_Label_7b94a7b8-f06c-4dfe-bdcc-9b548fd58c31_ContentBits">
    <vt:lpwstr>0</vt:lpwstr>
  </property>
</Properties>
</file>