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380F" w14:textId="77777777" w:rsidR="008208F0" w:rsidRPr="00F23244" w:rsidRDefault="008208F0" w:rsidP="00F23244">
      <w:pPr>
        <w:spacing w:after="0"/>
        <w:rPr>
          <w:rFonts w:ascii="Myriad Web Pro" w:hAnsi="Myriad Web Pro"/>
          <w:noProof/>
        </w:rPr>
        <w:sectPr w:rsidR="008208F0" w:rsidRPr="00F23244" w:rsidSect="00DA33E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4725F256" w14:textId="77777777" w:rsidR="001D53E1" w:rsidRPr="00F23244" w:rsidRDefault="00C85341" w:rsidP="00F23244">
      <w:pPr>
        <w:jc w:val="center"/>
        <w:rPr>
          <w:rFonts w:ascii="Myriad Web Pro" w:hAnsi="Myriad Web Pro"/>
          <w:color w:val="244061" w:themeColor="accent1" w:themeShade="80"/>
        </w:rPr>
      </w:pPr>
      <w:r w:rsidRPr="00F23244">
        <w:rPr>
          <w:rFonts w:ascii="Myriad Web Pro" w:hAnsi="Myriad Web Pro"/>
          <w:b/>
          <w:noProof/>
          <w:color w:val="244061" w:themeColor="accent1" w:themeShade="80"/>
          <w:sz w:val="24"/>
          <w:u w:val="single"/>
        </w:rPr>
        <w:t>S</w:t>
      </w:r>
      <w:r w:rsidR="00F23244" w:rsidRPr="00F23244">
        <w:rPr>
          <w:rFonts w:ascii="Myriad Web Pro" w:hAnsi="Myriad Web Pro"/>
          <w:b/>
          <w:noProof/>
          <w:color w:val="244061" w:themeColor="accent1" w:themeShade="80"/>
          <w:sz w:val="24"/>
          <w:u w:val="single"/>
        </w:rPr>
        <w:t>hutting Down the Regulator</w:t>
      </w:r>
    </w:p>
    <w:p w14:paraId="15CEB95E" w14:textId="77777777" w:rsidR="001D53E1" w:rsidRPr="00F23244" w:rsidRDefault="001D53E1" w:rsidP="00F23244">
      <w:pPr>
        <w:spacing w:after="0"/>
        <w:rPr>
          <w:rFonts w:ascii="Myriad Web Pro" w:hAnsi="Myriad Web Pro"/>
          <w:b/>
          <w:noProof/>
          <w:color w:val="4F81BD" w:themeColor="accent1"/>
        </w:rPr>
        <w:sectPr w:rsidR="001D53E1" w:rsidRPr="00F23244" w:rsidSect="00DA33EA">
          <w:type w:val="continuous"/>
          <w:pgSz w:w="12240" w:h="15840"/>
          <w:pgMar w:top="1440" w:right="1440" w:bottom="1440" w:left="1440" w:header="720" w:footer="720" w:gutter="0"/>
          <w:cols w:space="720"/>
          <w:titlePg/>
          <w:docGrid w:linePitch="360"/>
        </w:sectPr>
      </w:pPr>
    </w:p>
    <w:p w14:paraId="36AA02BF" w14:textId="77777777" w:rsidR="00F23244" w:rsidRPr="00F23244" w:rsidRDefault="00F23244" w:rsidP="00F23244">
      <w:pPr>
        <w:spacing w:after="0"/>
        <w:rPr>
          <w:rFonts w:ascii="Myriad Web Pro" w:hAnsi="Myriad Web Pro"/>
          <w:b/>
          <w:color w:val="1F497D" w:themeColor="text2"/>
        </w:rPr>
      </w:pPr>
      <w:r w:rsidRPr="00F23244">
        <w:rPr>
          <w:rFonts w:ascii="Myriad Web Pro" w:hAnsi="Myriad Web Pro"/>
          <w:noProof/>
        </w:rPr>
        <w:drawing>
          <wp:anchor distT="0" distB="0" distL="114300" distR="114300" simplePos="0" relativeHeight="251659264" behindDoc="0" locked="0" layoutInCell="1" allowOverlap="1" wp14:anchorId="5635B1AE" wp14:editId="299D3513">
            <wp:simplePos x="0" y="0"/>
            <wp:positionH relativeFrom="column">
              <wp:posOffset>4120515</wp:posOffset>
            </wp:positionH>
            <wp:positionV relativeFrom="paragraph">
              <wp:posOffset>180975</wp:posOffset>
            </wp:positionV>
            <wp:extent cx="2172970" cy="2390775"/>
            <wp:effectExtent l="0" t="0" r="0" b="9525"/>
            <wp:wrapSquare wrapText="bothSides"/>
            <wp:docPr id="243" name="Pictur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2970"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82AAF" w14:textId="77777777" w:rsidR="00F23244" w:rsidRPr="00F23244" w:rsidRDefault="00F23244" w:rsidP="00F23244">
      <w:pPr>
        <w:spacing w:after="0"/>
        <w:rPr>
          <w:rFonts w:ascii="Myriad Web Pro" w:hAnsi="Myriad Web Pro"/>
          <w:b/>
          <w:color w:val="1F497D" w:themeColor="text2"/>
        </w:rPr>
      </w:pPr>
      <w:r>
        <w:rPr>
          <w:rFonts w:ascii="Myriad Web Pro" w:hAnsi="Myriad Web Pro"/>
          <w:b/>
          <w:color w:val="1F497D" w:themeColor="text2"/>
        </w:rPr>
        <w:t>Temporary Shutdown</w:t>
      </w:r>
    </w:p>
    <w:p w14:paraId="0CCA587D" w14:textId="77777777" w:rsidR="00F23244" w:rsidRPr="00F23244" w:rsidRDefault="00F23244" w:rsidP="00F23244">
      <w:pPr>
        <w:spacing w:after="0"/>
        <w:rPr>
          <w:rFonts w:ascii="Myriad Web Pro" w:hAnsi="Myriad Web Pro"/>
        </w:rPr>
      </w:pPr>
      <w:r w:rsidRPr="00F23244">
        <w:rPr>
          <w:rFonts w:ascii="Myriad Web Pro" w:hAnsi="Myriad Web Pro"/>
        </w:rPr>
        <w:t xml:space="preserve"> </w:t>
      </w:r>
    </w:p>
    <w:p w14:paraId="49B16FE1" w14:textId="77777777" w:rsidR="001D53E1" w:rsidRPr="00F23244" w:rsidRDefault="00F23244" w:rsidP="00F23244">
      <w:pPr>
        <w:spacing w:after="0"/>
        <w:rPr>
          <w:rFonts w:ascii="Myriad Web Pro" w:hAnsi="Myriad Web Pro"/>
        </w:rPr>
      </w:pPr>
      <w:r w:rsidRPr="00F23244">
        <w:rPr>
          <w:rFonts w:ascii="Myriad Web Pro" w:hAnsi="Myriad Web Pro"/>
        </w:rPr>
        <w:t>There are important safety recommendations for shutting down and removing the regulator. Temporarily shutdown your system when you will not be using it for thirty minutes or less. For temporary shutdown, simply close the</w:t>
      </w:r>
      <w:r w:rsidR="00ED3DAE">
        <w:rPr>
          <w:rFonts w:ascii="Myriad Web Pro" w:hAnsi="Myriad Web Pro"/>
        </w:rPr>
        <w:t xml:space="preserve"> regulator outlet flow valve</w:t>
      </w:r>
      <w:r w:rsidRPr="00F23244">
        <w:rPr>
          <w:rFonts w:ascii="Myriad Web Pro" w:hAnsi="Myriad Web Pro"/>
        </w:rPr>
        <w:t>.</w:t>
      </w:r>
      <w:r w:rsidR="001D53E1" w:rsidRPr="00F23244">
        <w:rPr>
          <w:rFonts w:ascii="Myriad Web Pro" w:hAnsi="Myriad Web Pro"/>
        </w:rPr>
        <w:t xml:space="preserve"> </w:t>
      </w:r>
    </w:p>
    <w:p w14:paraId="371DD49E" w14:textId="77777777" w:rsidR="001D53E1" w:rsidRPr="00F23244" w:rsidRDefault="001D53E1" w:rsidP="00F23244">
      <w:pPr>
        <w:spacing w:after="0"/>
        <w:rPr>
          <w:rFonts w:ascii="Myriad Web Pro" w:hAnsi="Myriad Web Pro"/>
          <w:i/>
          <w:noProof/>
        </w:rPr>
      </w:pPr>
    </w:p>
    <w:p w14:paraId="0E728EFD" w14:textId="77777777" w:rsidR="00F23244" w:rsidRDefault="00F23244" w:rsidP="00F23244">
      <w:pPr>
        <w:rPr>
          <w:rFonts w:ascii="Myriad Web Pro" w:hAnsi="Myriad Web Pro"/>
          <w:b/>
          <w:color w:val="1F497D" w:themeColor="text2"/>
        </w:rPr>
      </w:pPr>
    </w:p>
    <w:p w14:paraId="5BE42E5D" w14:textId="77777777" w:rsidR="00F23244" w:rsidRDefault="00F23244" w:rsidP="00F23244">
      <w:pPr>
        <w:rPr>
          <w:rFonts w:ascii="Myriad Web Pro" w:hAnsi="Myriad Web Pro"/>
          <w:b/>
          <w:color w:val="1F497D" w:themeColor="text2"/>
        </w:rPr>
      </w:pPr>
    </w:p>
    <w:p w14:paraId="5BD3974D" w14:textId="77777777" w:rsidR="00F23244" w:rsidRDefault="00F23244" w:rsidP="00F23244">
      <w:pPr>
        <w:rPr>
          <w:rFonts w:ascii="Myriad Web Pro" w:hAnsi="Myriad Web Pro"/>
          <w:b/>
          <w:color w:val="1F497D" w:themeColor="text2"/>
        </w:rPr>
      </w:pPr>
    </w:p>
    <w:p w14:paraId="5F6045EE" w14:textId="77777777" w:rsidR="00F23244" w:rsidRPr="00F23244" w:rsidRDefault="00F23244" w:rsidP="00F23244">
      <w:pPr>
        <w:rPr>
          <w:rFonts w:ascii="Myriad Web Pro" w:hAnsi="Myriad Web Pro"/>
          <w:b/>
          <w:color w:val="1F497D" w:themeColor="text2"/>
        </w:rPr>
      </w:pPr>
      <w:r w:rsidRPr="00F23244">
        <w:rPr>
          <w:rFonts w:ascii="Myriad Web Pro" w:hAnsi="Myriad Web Pro"/>
          <w:b/>
          <w:color w:val="1F497D" w:themeColor="text2"/>
        </w:rPr>
        <w:t xml:space="preserve">Extended Shutdown </w:t>
      </w:r>
    </w:p>
    <w:p w14:paraId="0B6796F4" w14:textId="39FB74F6" w:rsidR="00F23244" w:rsidRPr="00F23244" w:rsidRDefault="00646344" w:rsidP="00F23244">
      <w:pPr>
        <w:rPr>
          <w:rFonts w:ascii="Myriad Web Pro" w:hAnsi="Myriad Web Pro"/>
        </w:rPr>
      </w:pPr>
      <w:r>
        <w:rPr>
          <w:rFonts w:ascii="Myriad Web Pro" w:hAnsi="Myriad Web Pro"/>
          <w:noProof/>
        </w:rPr>
        <w:drawing>
          <wp:anchor distT="0" distB="0" distL="114300" distR="114300" simplePos="0" relativeHeight="251660288" behindDoc="0" locked="0" layoutInCell="1" allowOverlap="1" wp14:anchorId="22A5F15A" wp14:editId="0F09D254">
            <wp:simplePos x="0" y="0"/>
            <wp:positionH relativeFrom="column">
              <wp:posOffset>3562985</wp:posOffset>
            </wp:positionH>
            <wp:positionV relativeFrom="paragraph">
              <wp:posOffset>96266</wp:posOffset>
            </wp:positionV>
            <wp:extent cx="2731135" cy="3482340"/>
            <wp:effectExtent l="0" t="0" r="0" b="381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1135" cy="348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6D8" w:rsidRPr="004E36D8">
        <w:rPr>
          <w:rFonts w:ascii="Myriad Web Pro" w:hAnsi="Myriad Web Pro"/>
          <w:noProof/>
        </w:rPr>
        <w:t>When you are not using the system for a longerperiod of time (more than 30 minutes), follow the extended shutdown procedure.</w:t>
      </w:r>
      <w:r w:rsidR="00F23244" w:rsidRPr="00F23244">
        <w:rPr>
          <w:rFonts w:ascii="Myriad Web Pro" w:hAnsi="Myriad Web Pro"/>
        </w:rPr>
        <w:t xml:space="preserve"> </w:t>
      </w:r>
    </w:p>
    <w:p w14:paraId="2016B9CD" w14:textId="77777777" w:rsidR="00F23244" w:rsidRPr="00F23244" w:rsidRDefault="00F23244" w:rsidP="00F23244">
      <w:pPr>
        <w:spacing w:after="0"/>
        <w:rPr>
          <w:rFonts w:ascii="Myriad Web Pro" w:hAnsi="Myriad Web Pro"/>
        </w:rPr>
      </w:pPr>
      <w:r w:rsidRPr="00F23244">
        <w:rPr>
          <w:rFonts w:ascii="Myriad Web Pro" w:hAnsi="Myriad Web Pro"/>
        </w:rPr>
        <w:t>For Extended Shutdown:</w:t>
      </w:r>
    </w:p>
    <w:p w14:paraId="22E2B8ED" w14:textId="77777777" w:rsidR="00F23244" w:rsidRPr="00F23244" w:rsidRDefault="00F23244" w:rsidP="00F23244">
      <w:pPr>
        <w:pStyle w:val="ListParagraph"/>
        <w:numPr>
          <w:ilvl w:val="0"/>
          <w:numId w:val="15"/>
        </w:numPr>
        <w:spacing w:line="276" w:lineRule="auto"/>
        <w:rPr>
          <w:rFonts w:ascii="Myriad Web Pro" w:hAnsi="Myriad Web Pro"/>
        </w:rPr>
      </w:pPr>
      <w:r w:rsidRPr="00F23244">
        <w:rPr>
          <w:rFonts w:ascii="Myriad Web Pro" w:hAnsi="Myriad Web Pro"/>
        </w:rPr>
        <w:t>Slowly close the cylinder valve completely by hand unless a vendor supplied tool is provided. Contact your laboratory supervisor if you cannot close the valve. Shut down any additional gas supplies that may be supplying gas to the system.</w:t>
      </w:r>
    </w:p>
    <w:p w14:paraId="6EDD3290" w14:textId="77777777" w:rsidR="00F23244" w:rsidRPr="00F23244" w:rsidRDefault="00F23244" w:rsidP="00F23244">
      <w:pPr>
        <w:pStyle w:val="ListParagraph"/>
        <w:numPr>
          <w:ilvl w:val="0"/>
          <w:numId w:val="15"/>
        </w:numPr>
        <w:spacing w:line="276" w:lineRule="auto"/>
        <w:rPr>
          <w:rFonts w:ascii="Myriad Web Pro" w:hAnsi="Myriad Web Pro"/>
        </w:rPr>
      </w:pPr>
      <w:r w:rsidRPr="00F23244">
        <w:rPr>
          <w:rFonts w:ascii="Myriad Web Pro" w:hAnsi="Myriad Web Pro"/>
        </w:rPr>
        <w:t>Open the</w:t>
      </w:r>
      <w:r w:rsidR="00164EBD">
        <w:rPr>
          <w:rFonts w:ascii="Myriad Web Pro" w:hAnsi="Myriad Web Pro"/>
        </w:rPr>
        <w:t xml:space="preserve"> regulator outlet flow valve</w:t>
      </w:r>
      <w:r w:rsidRPr="00F23244">
        <w:rPr>
          <w:rFonts w:ascii="Myriad Web Pro" w:hAnsi="Myriad Web Pro"/>
        </w:rPr>
        <w:t xml:space="preserve"> to drain the contents of the regulator through the system in use.</w:t>
      </w:r>
      <w:r w:rsidR="00164EBD">
        <w:rPr>
          <w:rFonts w:ascii="Myriad Web Pro" w:hAnsi="Myriad Web Pro"/>
        </w:rPr>
        <w:t xml:space="preserve"> Both regulator gauges</w:t>
      </w:r>
      <w:r w:rsidRPr="00F23244">
        <w:rPr>
          <w:rFonts w:ascii="Myriad Web Pro" w:hAnsi="Myriad Web Pro"/>
        </w:rPr>
        <w:t xml:space="preserve"> should descend to zero.</w:t>
      </w:r>
    </w:p>
    <w:p w14:paraId="36E9AFAE" w14:textId="77777777" w:rsidR="00F23244" w:rsidRPr="00F23244" w:rsidRDefault="00F23244" w:rsidP="00F23244">
      <w:pPr>
        <w:pStyle w:val="ListParagraph"/>
        <w:numPr>
          <w:ilvl w:val="0"/>
          <w:numId w:val="15"/>
        </w:numPr>
        <w:spacing w:line="276" w:lineRule="auto"/>
        <w:rPr>
          <w:rFonts w:ascii="Myriad Web Pro" w:hAnsi="Myriad Web Pro"/>
        </w:rPr>
      </w:pPr>
      <w:r w:rsidRPr="00F23244">
        <w:rPr>
          <w:rFonts w:ascii="Myriad Web Pro" w:hAnsi="Myriad Web Pro"/>
        </w:rPr>
        <w:t>Open</w:t>
      </w:r>
      <w:r w:rsidR="00164EBD">
        <w:rPr>
          <w:rFonts w:ascii="Myriad Web Pro" w:hAnsi="Myriad Web Pro"/>
        </w:rPr>
        <w:t xml:space="preserve"> the regulator control valve</w:t>
      </w:r>
      <w:r w:rsidRPr="00F23244">
        <w:rPr>
          <w:rFonts w:ascii="Myriad Web Pro" w:hAnsi="Myriad Web Pro"/>
        </w:rPr>
        <w:t xml:space="preserve"> to release all pressure</w:t>
      </w:r>
    </w:p>
    <w:p w14:paraId="3E05794F" w14:textId="77777777" w:rsidR="00F23244" w:rsidRPr="00F23244" w:rsidRDefault="00F23244" w:rsidP="00F23244">
      <w:pPr>
        <w:pStyle w:val="ListParagraph"/>
        <w:numPr>
          <w:ilvl w:val="0"/>
          <w:numId w:val="15"/>
        </w:numPr>
        <w:spacing w:after="240" w:line="276" w:lineRule="auto"/>
        <w:rPr>
          <w:rFonts w:ascii="Myriad Web Pro" w:hAnsi="Myriad Web Pro"/>
        </w:rPr>
      </w:pPr>
      <w:r w:rsidRPr="00F23244">
        <w:rPr>
          <w:rFonts w:ascii="Myriad Web Pro" w:hAnsi="Myriad Web Pro"/>
        </w:rPr>
        <w:t>Once the contents are drained, close</w:t>
      </w:r>
      <w:r w:rsidR="00164EBD">
        <w:rPr>
          <w:rFonts w:ascii="Myriad Web Pro" w:hAnsi="Myriad Web Pro"/>
        </w:rPr>
        <w:t xml:space="preserve"> the regulator control valve and the outlet valve</w:t>
      </w:r>
      <w:r w:rsidRPr="00F23244">
        <w:rPr>
          <w:rFonts w:ascii="Myriad Web Pro" w:hAnsi="Myriad Web Pro"/>
        </w:rPr>
        <w:t>.</w:t>
      </w:r>
    </w:p>
    <w:p w14:paraId="241C87B2" w14:textId="0023D85E" w:rsidR="00803BA8" w:rsidRPr="00803BA8" w:rsidRDefault="00F23244" w:rsidP="00803BA8">
      <w:pPr>
        <w:rPr>
          <w:rFonts w:ascii="Myriad Web Pro" w:hAnsi="Myriad Web Pro"/>
        </w:rPr>
      </w:pPr>
      <w:r w:rsidRPr="00F23244">
        <w:rPr>
          <w:rFonts w:ascii="Myriad Web Pro" w:hAnsi="Myriad Web Pro"/>
          <w:b/>
        </w:rPr>
        <w:t>Note</w:t>
      </w:r>
      <w:r w:rsidRPr="00F23244">
        <w:rPr>
          <w:rFonts w:ascii="Myriad Web Pro" w:hAnsi="Myriad Web Pro"/>
        </w:rPr>
        <w:t>: You must purge some hazardous gas systems into a ventilation mechanism to remove the excess gas from the laboratory. Refer to your laboratory SOP for this procedure</w:t>
      </w:r>
      <w:r w:rsidR="00033935">
        <w:rPr>
          <w:rFonts w:ascii="Myriad Web Pro" w:hAnsi="Myriad Web Pro"/>
        </w:rPr>
        <w:t>.</w:t>
      </w:r>
      <w:r w:rsidR="00935C6E" w:rsidRPr="00F23244">
        <w:rPr>
          <w:rFonts w:ascii="Myriad Web Pro" w:hAnsi="Myriad Web Pro"/>
          <w:noProof/>
        </w:rPr>
        <mc:AlternateContent>
          <mc:Choice Requires="wps">
            <w:drawing>
              <wp:anchor distT="0" distB="0" distL="114300" distR="114300" simplePos="0" relativeHeight="251656704" behindDoc="0" locked="0" layoutInCell="1" allowOverlap="1" wp14:anchorId="6185BDC3" wp14:editId="06D68B61">
                <wp:simplePos x="0" y="0"/>
                <wp:positionH relativeFrom="column">
                  <wp:posOffset>436880</wp:posOffset>
                </wp:positionH>
                <wp:positionV relativeFrom="paragraph">
                  <wp:posOffset>8013700</wp:posOffset>
                </wp:positionV>
                <wp:extent cx="4523105" cy="23304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2310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507F" w14:textId="77777777" w:rsidR="008208F0" w:rsidRPr="00274019" w:rsidRDefault="008208F0" w:rsidP="008208F0">
                            <w:pPr>
                              <w:rPr>
                                <w:rFonts w:cstheme="minorHAnsi"/>
                                <w:sz w:val="18"/>
                                <w:szCs w:val="38"/>
                              </w:rPr>
                            </w:pPr>
                            <w:r w:rsidRPr="00274019">
                              <w:rPr>
                                <w:rFonts w:cstheme="minorHAnsi"/>
                                <w:sz w:val="18"/>
                                <w:szCs w:val="38"/>
                              </w:rPr>
                              <w:t>Laboratory Training Branch</w:t>
                            </w:r>
                          </w:p>
                          <w:p w14:paraId="090201A4" w14:textId="77777777" w:rsidR="008208F0" w:rsidRDefault="008208F0" w:rsidP="00820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85BDC3" id="_x0000_t202" coordsize="21600,21600" o:spt="202" path="m,l,21600r21600,l21600,xe">
                <v:stroke joinstyle="miter"/>
                <v:path gradientshapeok="t" o:connecttype="rect"/>
              </v:shapetype>
              <v:shape id="Text Box 10" o:spid="_x0000_s1026" type="#_x0000_t202" alt="&quot;&quot;" style="position:absolute;margin-left:34.4pt;margin-top:631pt;width:356.15pt;height:18.3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" filled="f" stroked="f" strokeweight=".5pt">
                <v:textbox>
                  <w:txbxContent>
                    <w:p w14:paraId="6129507F" w14:textId="77777777" w:rsidR="008208F0" w:rsidRPr="00274019" w:rsidRDefault="008208F0" w:rsidP="008208F0">
                      <w:pPr>
                        <w:rPr>
                          <w:rFonts w:cstheme="minorHAnsi"/>
                          <w:sz w:val="18"/>
                          <w:szCs w:val="38"/>
                        </w:rPr>
                      </w:pPr>
                      <w:r w:rsidRPr="00274019">
                        <w:rPr>
                          <w:rFonts w:cstheme="minorHAnsi"/>
                          <w:sz w:val="18"/>
                          <w:szCs w:val="38"/>
                        </w:rPr>
                        <w:t>Laboratory Training Branch</w:t>
                      </w:r>
                    </w:p>
                    <w:p w14:paraId="090201A4" w14:textId="77777777" w:rsidR="008208F0" w:rsidRDefault="008208F0" w:rsidP="008208F0"/>
                  </w:txbxContent>
                </v:textbox>
              </v:shape>
            </w:pict>
          </mc:Fallback>
        </mc:AlternateContent>
      </w:r>
      <w:r w:rsidR="00F96AF0" w:rsidRPr="00F23244">
        <w:rPr>
          <w:rFonts w:ascii="Myriad Web Pro" w:hAnsi="Myriad Web Pro"/>
          <w:noProof/>
        </w:rPr>
        <mc:AlternateContent>
          <mc:Choice Requires="wps">
            <w:drawing>
              <wp:anchor distT="0" distB="0" distL="114300" distR="114300" simplePos="0" relativeHeight="251655680" behindDoc="0" locked="0" layoutInCell="1" allowOverlap="1" wp14:anchorId="09F37065" wp14:editId="6FADB7D1">
                <wp:simplePos x="0" y="0"/>
                <wp:positionH relativeFrom="column">
                  <wp:posOffset>433070</wp:posOffset>
                </wp:positionH>
                <wp:positionV relativeFrom="paragraph">
                  <wp:posOffset>7841615</wp:posOffset>
                </wp:positionV>
                <wp:extent cx="4523105" cy="23304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2310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38F50" w14:textId="77777777" w:rsidR="008208F0" w:rsidRPr="00EC3CCF" w:rsidRDefault="008208F0" w:rsidP="008208F0">
                            <w:pPr>
                              <w:rPr>
                                <w:rFonts w:cstheme="minorHAnsi"/>
                                <w:color w:val="FFFFFF" w:themeColor="background1"/>
                                <w:sz w:val="18"/>
                                <w:szCs w:val="38"/>
                              </w:rPr>
                            </w:pPr>
                            <w:r w:rsidRPr="00EC3CCF">
                              <w:rPr>
                                <w:rFonts w:cstheme="minorHAnsi"/>
                                <w:color w:val="FFFFFF" w:themeColor="background1"/>
                                <w:sz w:val="18"/>
                                <w:szCs w:val="38"/>
                              </w:rPr>
                              <w:t>Center for Surveillance, Epidemiology, and Laboratory Services</w:t>
                            </w:r>
                          </w:p>
                          <w:p w14:paraId="629DBFDC" w14:textId="77777777" w:rsidR="008208F0" w:rsidRDefault="008208F0" w:rsidP="00820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F37065" id="Text Box 9" o:spid="_x0000_s1027" type="#_x0000_t202" alt="&quot;&quot;" style="position:absolute;margin-left:34.1pt;margin-top:617.45pt;width:356.15pt;height:18.3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" filled="f" stroked="f" strokeweight=".5pt">
                <v:textbox>
                  <w:txbxContent>
                    <w:p w14:paraId="4B038F50" w14:textId="77777777" w:rsidR="008208F0" w:rsidRPr="00EC3CCF" w:rsidRDefault="008208F0" w:rsidP="008208F0">
                      <w:pPr>
                        <w:rPr>
                          <w:rFonts w:cstheme="minorHAnsi"/>
                          <w:color w:val="FFFFFF" w:themeColor="background1"/>
                          <w:sz w:val="18"/>
                          <w:szCs w:val="38"/>
                        </w:rPr>
                      </w:pPr>
                      <w:r w:rsidRPr="00EC3CCF">
                        <w:rPr>
                          <w:rFonts w:cstheme="minorHAnsi"/>
                          <w:color w:val="FFFFFF" w:themeColor="background1"/>
                          <w:sz w:val="18"/>
                          <w:szCs w:val="38"/>
                        </w:rPr>
                        <w:t>Center for Surveillance, Epidemiology, and Laboratory Services</w:t>
                      </w:r>
                    </w:p>
                    <w:p w14:paraId="629DBFDC" w14:textId="77777777" w:rsidR="008208F0" w:rsidRDefault="008208F0" w:rsidP="008208F0"/>
                  </w:txbxContent>
                </v:textbox>
              </v:shape>
            </w:pict>
          </mc:Fallback>
        </mc:AlternateContent>
      </w:r>
      <w:r w:rsidR="00323368" w:rsidRPr="00F23244">
        <w:rPr>
          <w:rFonts w:ascii="Myriad Web Pro" w:hAnsi="Myriad Web Pro"/>
          <w:noProof/>
        </w:rPr>
        <w:drawing>
          <wp:anchor distT="0" distB="0" distL="114300" distR="114300" simplePos="0" relativeHeight="251653632" behindDoc="1" locked="0" layoutInCell="1" allowOverlap="1" wp14:anchorId="30484B79" wp14:editId="686FF1D4">
            <wp:simplePos x="0" y="0"/>
            <wp:positionH relativeFrom="column">
              <wp:posOffset>-685800</wp:posOffset>
            </wp:positionH>
            <wp:positionV relativeFrom="paragraph">
              <wp:posOffset>9498965</wp:posOffset>
            </wp:positionV>
            <wp:extent cx="7756525" cy="10038080"/>
            <wp:effectExtent l="0" t="0" r="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7756525" cy="10038080"/>
                    </a:xfrm>
                    <a:prstGeom prst="rect">
                      <a:avLst/>
                    </a:prstGeom>
                  </pic:spPr>
                </pic:pic>
              </a:graphicData>
            </a:graphic>
            <wp14:sizeRelH relativeFrom="page">
              <wp14:pctWidth>0</wp14:pctWidth>
            </wp14:sizeRelH>
            <wp14:sizeRelV relativeFrom="page">
              <wp14:pctHeight>0</wp14:pctHeight>
            </wp14:sizeRelV>
          </wp:anchor>
        </w:drawing>
      </w:r>
    </w:p>
    <w:p w14:paraId="751585B6" w14:textId="77777777" w:rsidR="00803BA8" w:rsidRPr="00803BA8" w:rsidRDefault="00803BA8" w:rsidP="00803BA8">
      <w:pPr>
        <w:rPr>
          <w:rFonts w:ascii="Myriad Web Pro" w:hAnsi="Myriad Web Pro"/>
        </w:rPr>
      </w:pPr>
    </w:p>
    <w:sectPr w:rsidR="00803BA8" w:rsidRPr="00803BA8" w:rsidSect="00DA33EA">
      <w:type w:val="continuous"/>
      <w:pgSz w:w="12240" w:h="15840"/>
      <w:pgMar w:top="1710" w:right="864" w:bottom="86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5B09" w14:textId="77777777" w:rsidR="00C217F5" w:rsidRDefault="00C217F5" w:rsidP="00FB14F4">
      <w:pPr>
        <w:spacing w:after="0" w:line="240" w:lineRule="auto"/>
      </w:pPr>
      <w:r>
        <w:separator/>
      </w:r>
    </w:p>
  </w:endnote>
  <w:endnote w:type="continuationSeparator" w:id="0">
    <w:p w14:paraId="4F68D679" w14:textId="77777777" w:rsidR="00C217F5" w:rsidRDefault="00C217F5" w:rsidP="00FB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yriad Web Pro">
    <w:altName w:val="Calibri"/>
    <w:charset w:val="00"/>
    <w:family w:val="swiss"/>
    <w:pitch w:val="variable"/>
    <w:sig w:usb0="8000002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210D" w14:textId="77777777" w:rsidR="004E36D8" w:rsidRDefault="004E3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3A96" w14:textId="0F2EE356" w:rsidR="00844DFC" w:rsidRDefault="00863E6D">
    <w:pPr>
      <w:pStyle w:val="Footer"/>
    </w:pPr>
    <w:r w:rsidRPr="000254DD">
      <w:rPr>
        <w:rFonts w:ascii="Calibri" w:hAnsi="Calibri" w:cs="Calibri"/>
        <w:noProof/>
        <w:color w:val="000000"/>
        <w:sz w:val="24"/>
        <w:szCs w:val="24"/>
      </w:rPr>
      <mc:AlternateContent>
        <mc:Choice Requires="wps">
          <w:drawing>
            <wp:inline distT="0" distB="0" distL="0" distR="0" wp14:anchorId="14D408A0" wp14:editId="012CDDC1">
              <wp:extent cx="6292850" cy="819785"/>
              <wp:effectExtent l="0" t="0" r="12700" b="184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785"/>
                      </a:xfrm>
                      <a:prstGeom prst="rect">
                        <a:avLst/>
                      </a:prstGeom>
                      <a:solidFill>
                        <a:srgbClr val="FFFFFF"/>
                      </a:solidFill>
                      <a:ln w="9525">
                        <a:solidFill>
                          <a:schemeClr val="bg1"/>
                        </a:solidFill>
                        <a:miter lim="800000"/>
                        <a:headEnd/>
                        <a:tailEnd/>
                      </a:ln>
                    </wps:spPr>
                    <wps:txbx>
                      <w:txbxContent>
                        <w:p w14:paraId="7249C5D2" w14:textId="77777777" w:rsidR="004E36D8" w:rsidRPr="00DF10CA" w:rsidRDefault="004E36D8" w:rsidP="004E36D8">
                          <w:pPr>
                            <w:spacing w:after="0"/>
                            <w:rPr>
                              <w:rFonts w:cstheme="minorHAnsi"/>
                            </w:rPr>
                          </w:pPr>
                          <w:r w:rsidRPr="00DF10CA">
                            <w:rPr>
                              <w:rFonts w:cstheme="minorHAnsi"/>
                            </w:rPr>
                            <w:t xml:space="preserve">This job aid is a component of the free, on-demand CDC training course “Safe Handling of Compressed Gas Cylinders.” Find the course at </w:t>
                          </w:r>
                          <w:hyperlink r:id="rId1" w:tgtFrame="_blank" w:tooltip="https://reach.cdc.gov/training" w:history="1">
                            <w:r w:rsidRPr="00DF10CA">
                              <w:rPr>
                                <w:rStyle w:val="Hyperlink"/>
                                <w:rFonts w:cstheme="minorHAnsi"/>
                              </w:rPr>
                              <w:t>https://reach.cdc.gov/training</w:t>
                            </w:r>
                          </w:hyperlink>
                        </w:p>
                        <w:p w14:paraId="1336FE41" w14:textId="77777777" w:rsidR="004E36D8" w:rsidRPr="00DF10CA" w:rsidRDefault="004E36D8" w:rsidP="004E36D8">
                          <w:pPr>
                            <w:pStyle w:val="NormalWeb"/>
                            <w:spacing w:before="0" w:beforeAutospacing="0" w:after="0" w:afterAutospacing="0"/>
                            <w:rPr>
                              <w:rFonts w:asciiTheme="minorHAnsi" w:hAnsiTheme="minorHAnsi" w:cstheme="minorHAnsi"/>
                              <w:sz w:val="22"/>
                              <w:szCs w:val="22"/>
                            </w:rPr>
                          </w:pPr>
                          <w:r w:rsidRPr="00DF10CA">
                            <w:rPr>
                              <w:rFonts w:asciiTheme="minorHAnsi" w:eastAsiaTheme="minorHAnsi" w:hAnsiTheme="minorHAnsi" w:cstheme="minorHAnsi"/>
                              <w:color w:val="000000"/>
                              <w:sz w:val="22"/>
                              <w:szCs w:val="22"/>
                            </w:rPr>
                            <w:t>v23142</w:t>
                          </w:r>
                        </w:p>
                        <w:p w14:paraId="681DCC7B" w14:textId="0FCACDE7" w:rsidR="00863E6D" w:rsidRPr="000254DD" w:rsidRDefault="00863E6D" w:rsidP="00863E6D">
                          <w:pPr>
                            <w:rPr>
                              <w:rFonts w:ascii="Calibri" w:hAnsi="Calibri" w:cs="Calibri"/>
                              <w:color w:val="000000"/>
                            </w:rPr>
                          </w:pPr>
                        </w:p>
                      </w:txbxContent>
                    </wps:txbx>
                    <wps:bodyPr rot="0" vert="horz" wrap="square" lIns="91440" tIns="45720" rIns="91440" bIns="45720" anchor="t" anchorCtr="0">
                      <a:noAutofit/>
                    </wps:bodyPr>
                  </wps:wsp>
                </a:graphicData>
              </a:graphic>
            </wp:inline>
          </w:drawing>
        </mc:Choice>
        <mc:Fallback>
          <w:pict>
            <v:shapetype w14:anchorId="14D408A0" id="_x0000_t202" coordsize="21600,21600" o:spt="202" path="m,l,21600r21600,l21600,xe">
              <v:stroke joinstyle="miter"/>
              <v:path gradientshapeok="t" o:connecttype="rect"/>
            </v:shapetype>
            <v:shape id="Text Box 4" o:spid="_x0000_s1028" type="#_x0000_t202" style="width:495.5pt;height: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" strokecolor="white [3212]">
              <v:textbox>
                <w:txbxContent>
                  <w:p w14:paraId="7249C5D2" w14:textId="77777777" w:rsidR="004E36D8" w:rsidRPr="00DF10CA" w:rsidRDefault="004E36D8" w:rsidP="004E36D8">
                    <w:pPr>
                      <w:spacing w:after="0"/>
                      <w:rPr>
                        <w:rFonts w:cstheme="minorHAnsi"/>
                      </w:rPr>
                    </w:pPr>
                    <w:r w:rsidRPr="00DF10CA">
                      <w:rPr>
                        <w:rFonts w:cstheme="minorHAnsi"/>
                      </w:rPr>
                      <w:t xml:space="preserve">This job aid is a component of the free, on-demand CDC training course “Safe Handling of Compressed Gas Cylinders.” Find the course at </w:t>
                    </w:r>
                    <w:hyperlink r:id="rId2" w:tgtFrame="_blank" w:tooltip="https://reach.cdc.gov/training" w:history="1">
                      <w:r w:rsidRPr="00DF10CA">
                        <w:rPr>
                          <w:rStyle w:val="Hyperlink"/>
                          <w:rFonts w:cstheme="minorHAnsi"/>
                        </w:rPr>
                        <w:t>https://reach.cdc.gov/training</w:t>
                      </w:r>
                    </w:hyperlink>
                  </w:p>
                  <w:p w14:paraId="1336FE41" w14:textId="77777777" w:rsidR="004E36D8" w:rsidRPr="00DF10CA" w:rsidRDefault="004E36D8" w:rsidP="004E36D8">
                    <w:pPr>
                      <w:pStyle w:val="NormalWeb"/>
                      <w:spacing w:before="0" w:beforeAutospacing="0" w:after="0" w:afterAutospacing="0"/>
                      <w:rPr>
                        <w:rFonts w:asciiTheme="minorHAnsi" w:hAnsiTheme="minorHAnsi" w:cstheme="minorHAnsi"/>
                        <w:sz w:val="22"/>
                        <w:szCs w:val="22"/>
                      </w:rPr>
                    </w:pPr>
                    <w:r w:rsidRPr="00DF10CA">
                      <w:rPr>
                        <w:rFonts w:asciiTheme="minorHAnsi" w:eastAsiaTheme="minorHAnsi" w:hAnsiTheme="minorHAnsi" w:cstheme="minorHAnsi"/>
                        <w:color w:val="000000"/>
                        <w:sz w:val="22"/>
                        <w:szCs w:val="22"/>
                      </w:rPr>
                      <w:t>v23142</w:t>
                    </w:r>
                  </w:p>
                  <w:p w14:paraId="681DCC7B" w14:textId="0FCACDE7" w:rsidR="00863E6D" w:rsidRPr="000254DD" w:rsidRDefault="00863E6D" w:rsidP="00863E6D">
                    <w:pPr>
                      <w:rPr>
                        <w:rFonts w:ascii="Calibri" w:hAnsi="Calibri" w:cs="Calibri"/>
                        <w:color w:val="000000"/>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EECB" w14:textId="77777777" w:rsidR="004E36D8" w:rsidRDefault="004E3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23D6" w14:textId="77777777" w:rsidR="00C217F5" w:rsidRDefault="00C217F5" w:rsidP="00FB14F4">
      <w:pPr>
        <w:spacing w:after="0" w:line="240" w:lineRule="auto"/>
      </w:pPr>
      <w:r>
        <w:separator/>
      </w:r>
    </w:p>
  </w:footnote>
  <w:footnote w:type="continuationSeparator" w:id="0">
    <w:p w14:paraId="0970634C" w14:textId="77777777" w:rsidR="00C217F5" w:rsidRDefault="00C217F5" w:rsidP="00FB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AD16" w14:textId="77777777" w:rsidR="004E36D8" w:rsidRDefault="004E3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480E" w14:textId="1FC82EAF" w:rsidR="004E36D8" w:rsidRPr="00EA3D77" w:rsidRDefault="004E36D8" w:rsidP="004E36D8">
    <w:pPr>
      <w:pStyle w:val="Header"/>
      <w:rPr>
        <w:sz w:val="28"/>
        <w:szCs w:val="28"/>
      </w:rPr>
    </w:pPr>
    <w:r>
      <w:rPr>
        <w:sz w:val="28"/>
        <w:szCs w:val="28"/>
      </w:rPr>
      <w:t>[</w:t>
    </w:r>
    <w:r w:rsidRPr="006C213E">
      <w:rPr>
        <w:sz w:val="28"/>
        <w:szCs w:val="28"/>
      </w:rPr>
      <w:t>Insert your agency information here</w:t>
    </w:r>
    <w:r>
      <w:rPr>
        <w:sz w:val="28"/>
        <w:szCs w:val="28"/>
      </w:rPr>
      <w:t>]</w:t>
    </w:r>
  </w:p>
  <w:p w14:paraId="4CA783FE" w14:textId="4C8E11C9" w:rsidR="00323368" w:rsidRDefault="00323368" w:rsidP="004E36D8">
    <w:pPr>
      <w:pStyle w:val="Header"/>
      <w:tabs>
        <w:tab w:val="clear" w:pos="4680"/>
        <w:tab w:val="clear" w:pos="9360"/>
        <w:tab w:val="left" w:pos="190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EF6A" w14:textId="0AFACB66" w:rsidR="00400E96" w:rsidRPr="00641CBF" w:rsidRDefault="00084745" w:rsidP="00084745">
    <w:pPr>
      <w:pStyle w:val="Header"/>
      <w:jc w:val="right"/>
      <w:rPr>
        <w:sz w:val="16"/>
        <w:szCs w:val="16"/>
      </w:rPr>
    </w:pPr>
    <w:r w:rsidRPr="00641CBF">
      <w:rPr>
        <w:sz w:val="16"/>
        <w:szCs w:val="16"/>
      </w:rPr>
      <w:fldChar w:fldCharType="begin"/>
    </w:r>
    <w:r w:rsidRPr="00641CBF">
      <w:rPr>
        <w:sz w:val="16"/>
        <w:szCs w:val="16"/>
      </w:rPr>
      <w:instrText xml:space="preserve"> DATE \@ "M/d/yyyy h:mm am/pm" </w:instrText>
    </w:r>
    <w:r w:rsidRPr="00641CBF">
      <w:rPr>
        <w:sz w:val="16"/>
        <w:szCs w:val="16"/>
      </w:rPr>
      <w:fldChar w:fldCharType="separate"/>
    </w:r>
    <w:r w:rsidR="004E36D8">
      <w:rPr>
        <w:noProof/>
        <w:sz w:val="16"/>
        <w:szCs w:val="16"/>
      </w:rPr>
      <w:t>5/23/2023 10:44 AM</w:t>
    </w:r>
    <w:r w:rsidRPr="00641CBF">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3363"/>
    <w:multiLevelType w:val="hybridMultilevel"/>
    <w:tmpl w:val="4EFA3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4674A7"/>
    <w:multiLevelType w:val="hybridMultilevel"/>
    <w:tmpl w:val="8B4C8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DE2532"/>
    <w:multiLevelType w:val="hybridMultilevel"/>
    <w:tmpl w:val="B748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6205E"/>
    <w:multiLevelType w:val="hybridMultilevel"/>
    <w:tmpl w:val="007A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43AF0"/>
    <w:multiLevelType w:val="hybridMultilevel"/>
    <w:tmpl w:val="A5E02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CA389E"/>
    <w:multiLevelType w:val="hybridMultilevel"/>
    <w:tmpl w:val="022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5619C"/>
    <w:multiLevelType w:val="hybridMultilevel"/>
    <w:tmpl w:val="B26C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0E5C"/>
    <w:multiLevelType w:val="hybridMultilevel"/>
    <w:tmpl w:val="E25C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04CAD"/>
    <w:multiLevelType w:val="hybridMultilevel"/>
    <w:tmpl w:val="7B66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447BA"/>
    <w:multiLevelType w:val="hybridMultilevel"/>
    <w:tmpl w:val="44BE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4D7422"/>
    <w:multiLevelType w:val="hybridMultilevel"/>
    <w:tmpl w:val="08C0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D1E33"/>
    <w:multiLevelType w:val="hybridMultilevel"/>
    <w:tmpl w:val="7332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4757E"/>
    <w:multiLevelType w:val="hybridMultilevel"/>
    <w:tmpl w:val="61985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CB0AE2"/>
    <w:multiLevelType w:val="hybridMultilevel"/>
    <w:tmpl w:val="ECE2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E6A01"/>
    <w:multiLevelType w:val="hybridMultilevel"/>
    <w:tmpl w:val="EDF8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111793">
    <w:abstractNumId w:val="9"/>
  </w:num>
  <w:num w:numId="2" w16cid:durableId="853422535">
    <w:abstractNumId w:val="1"/>
  </w:num>
  <w:num w:numId="3" w16cid:durableId="972248943">
    <w:abstractNumId w:val="2"/>
  </w:num>
  <w:num w:numId="4" w16cid:durableId="357046646">
    <w:abstractNumId w:val="12"/>
  </w:num>
  <w:num w:numId="5" w16cid:durableId="1838032711">
    <w:abstractNumId w:val="4"/>
  </w:num>
  <w:num w:numId="6" w16cid:durableId="1518275507">
    <w:abstractNumId w:val="0"/>
  </w:num>
  <w:num w:numId="7" w16cid:durableId="1434403184">
    <w:abstractNumId w:val="10"/>
  </w:num>
  <w:num w:numId="8" w16cid:durableId="265618717">
    <w:abstractNumId w:val="6"/>
  </w:num>
  <w:num w:numId="9" w16cid:durableId="1624536236">
    <w:abstractNumId w:val="5"/>
  </w:num>
  <w:num w:numId="10" w16cid:durableId="700857577">
    <w:abstractNumId w:val="14"/>
  </w:num>
  <w:num w:numId="11" w16cid:durableId="236325382">
    <w:abstractNumId w:val="7"/>
  </w:num>
  <w:num w:numId="12" w16cid:durableId="1678967401">
    <w:abstractNumId w:val="8"/>
  </w:num>
  <w:num w:numId="13" w16cid:durableId="1070270750">
    <w:abstractNumId w:val="3"/>
  </w:num>
  <w:num w:numId="14" w16cid:durableId="309020715">
    <w:abstractNumId w:val="13"/>
  </w:num>
  <w:num w:numId="15" w16cid:durableId="532184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F4"/>
    <w:rsid w:val="0003358C"/>
    <w:rsid w:val="00033935"/>
    <w:rsid w:val="00040BDD"/>
    <w:rsid w:val="00066E4D"/>
    <w:rsid w:val="00084745"/>
    <w:rsid w:val="000C0E22"/>
    <w:rsid w:val="000F42F4"/>
    <w:rsid w:val="000F7BC6"/>
    <w:rsid w:val="001026FF"/>
    <w:rsid w:val="001217B4"/>
    <w:rsid w:val="00154122"/>
    <w:rsid w:val="00157938"/>
    <w:rsid w:val="00164EBD"/>
    <w:rsid w:val="00175C7B"/>
    <w:rsid w:val="001D53E1"/>
    <w:rsid w:val="001D727C"/>
    <w:rsid w:val="00253CCC"/>
    <w:rsid w:val="00260294"/>
    <w:rsid w:val="00274019"/>
    <w:rsid w:val="0029225D"/>
    <w:rsid w:val="002C5D24"/>
    <w:rsid w:val="002D1792"/>
    <w:rsid w:val="00321180"/>
    <w:rsid w:val="00323368"/>
    <w:rsid w:val="00360AB8"/>
    <w:rsid w:val="00400E96"/>
    <w:rsid w:val="00414034"/>
    <w:rsid w:val="00434F80"/>
    <w:rsid w:val="00450AF0"/>
    <w:rsid w:val="004538EA"/>
    <w:rsid w:val="00460148"/>
    <w:rsid w:val="004652AB"/>
    <w:rsid w:val="004656F5"/>
    <w:rsid w:val="004C1CBA"/>
    <w:rsid w:val="004E36D8"/>
    <w:rsid w:val="005637F1"/>
    <w:rsid w:val="00572C98"/>
    <w:rsid w:val="005F7EDE"/>
    <w:rsid w:val="0060063F"/>
    <w:rsid w:val="0061189C"/>
    <w:rsid w:val="00641CBF"/>
    <w:rsid w:val="00646344"/>
    <w:rsid w:val="0078229C"/>
    <w:rsid w:val="00791E70"/>
    <w:rsid w:val="007B6140"/>
    <w:rsid w:val="007F4E2F"/>
    <w:rsid w:val="00803BA8"/>
    <w:rsid w:val="00816C9E"/>
    <w:rsid w:val="008208F0"/>
    <w:rsid w:val="00844DFC"/>
    <w:rsid w:val="00863E6D"/>
    <w:rsid w:val="008871C8"/>
    <w:rsid w:val="00890B10"/>
    <w:rsid w:val="008971C2"/>
    <w:rsid w:val="008B31D4"/>
    <w:rsid w:val="008C1B79"/>
    <w:rsid w:val="008F3811"/>
    <w:rsid w:val="008F6FCC"/>
    <w:rsid w:val="00903764"/>
    <w:rsid w:val="00935C6E"/>
    <w:rsid w:val="009467C9"/>
    <w:rsid w:val="00963D71"/>
    <w:rsid w:val="00972F05"/>
    <w:rsid w:val="00977518"/>
    <w:rsid w:val="009A00FA"/>
    <w:rsid w:val="009A5E99"/>
    <w:rsid w:val="00A00B5A"/>
    <w:rsid w:val="00AC42BB"/>
    <w:rsid w:val="00AC7D59"/>
    <w:rsid w:val="00B50630"/>
    <w:rsid w:val="00B85EFE"/>
    <w:rsid w:val="00C00325"/>
    <w:rsid w:val="00C068C6"/>
    <w:rsid w:val="00C217F5"/>
    <w:rsid w:val="00C3616A"/>
    <w:rsid w:val="00C435C8"/>
    <w:rsid w:val="00C578FC"/>
    <w:rsid w:val="00C7016B"/>
    <w:rsid w:val="00C85341"/>
    <w:rsid w:val="00CB0173"/>
    <w:rsid w:val="00CF0FD3"/>
    <w:rsid w:val="00D35A21"/>
    <w:rsid w:val="00D36FE7"/>
    <w:rsid w:val="00D63395"/>
    <w:rsid w:val="00DA33EA"/>
    <w:rsid w:val="00DF141C"/>
    <w:rsid w:val="00E5025C"/>
    <w:rsid w:val="00E5542F"/>
    <w:rsid w:val="00EC1F27"/>
    <w:rsid w:val="00EC3CCF"/>
    <w:rsid w:val="00ED3DAE"/>
    <w:rsid w:val="00F210D2"/>
    <w:rsid w:val="00F23244"/>
    <w:rsid w:val="00F37566"/>
    <w:rsid w:val="00F9252B"/>
    <w:rsid w:val="00F96AF0"/>
    <w:rsid w:val="00FB14F4"/>
    <w:rsid w:val="00FB7AE9"/>
    <w:rsid w:val="00FD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159D7"/>
  <w15:docId w15:val="{86451864-8201-4806-A87F-FCDFD048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4F4"/>
  </w:style>
  <w:style w:type="paragraph" w:styleId="Footer">
    <w:name w:val="footer"/>
    <w:basedOn w:val="Normal"/>
    <w:link w:val="FooterChar"/>
    <w:uiPriority w:val="99"/>
    <w:unhideWhenUsed/>
    <w:rsid w:val="00FB1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4F4"/>
  </w:style>
  <w:style w:type="paragraph" w:styleId="BalloonText">
    <w:name w:val="Balloon Text"/>
    <w:basedOn w:val="Normal"/>
    <w:link w:val="BalloonTextChar"/>
    <w:uiPriority w:val="99"/>
    <w:semiHidden/>
    <w:unhideWhenUsed/>
    <w:rsid w:val="00FB1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F4"/>
    <w:rPr>
      <w:rFonts w:ascii="Tahoma" w:hAnsi="Tahoma" w:cs="Tahoma"/>
      <w:sz w:val="16"/>
      <w:szCs w:val="16"/>
    </w:rPr>
  </w:style>
  <w:style w:type="paragraph" w:styleId="HTMLPreformatted">
    <w:name w:val="HTML Preformatted"/>
    <w:basedOn w:val="Normal"/>
    <w:link w:val="HTMLPreformattedChar"/>
    <w:rsid w:val="008F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F6FCC"/>
    <w:rPr>
      <w:rFonts w:ascii="Courier New" w:eastAsia="Times New Roman" w:hAnsi="Courier New" w:cs="Courier New"/>
      <w:sz w:val="20"/>
      <w:szCs w:val="20"/>
    </w:rPr>
  </w:style>
  <w:style w:type="table" w:styleId="TableGrid">
    <w:name w:val="Table Grid"/>
    <w:basedOn w:val="TableNormal"/>
    <w:uiPriority w:val="59"/>
    <w:rsid w:val="00EC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C1F2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5">
    <w:name w:val="Light Grid Accent 5"/>
    <w:basedOn w:val="TableNormal"/>
    <w:uiPriority w:val="62"/>
    <w:rsid w:val="00EC1F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7F4E2F"/>
    <w:pPr>
      <w:spacing w:after="0" w:line="240" w:lineRule="auto"/>
      <w:ind w:left="720"/>
      <w:contextualSpacing/>
    </w:pPr>
    <w:rPr>
      <w:rFonts w:ascii="Calibri" w:eastAsia="Times New Roman" w:hAnsi="Calibri" w:cs="Times New Roman"/>
    </w:rPr>
  </w:style>
  <w:style w:type="table" w:styleId="LightShading-Accent5">
    <w:name w:val="Light Shading Accent 5"/>
    <w:basedOn w:val="TableNormal"/>
    <w:uiPriority w:val="60"/>
    <w:rsid w:val="007F4E2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8208F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63E6D"/>
    <w:rPr>
      <w:color w:val="0000FF" w:themeColor="hyperlink"/>
      <w:u w:val="single"/>
    </w:rPr>
  </w:style>
  <w:style w:type="paragraph" w:styleId="NormalWeb">
    <w:name w:val="Normal (Web)"/>
    <w:basedOn w:val="Normal"/>
    <w:uiPriority w:val="99"/>
    <w:unhideWhenUsed/>
    <w:rsid w:val="004E36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reach.cdc.gov/training" TargetMode="External"/><Relationship Id="rId1" Type="http://schemas.openxmlformats.org/officeDocument/2006/relationships/hyperlink" Target="https://reach.cdc.gov/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adce5-4867-4491-b8a8-7ad9cedf74dd">
      <Terms xmlns="http://schemas.microsoft.com/office/infopath/2007/PartnerControls"/>
    </lcf76f155ced4ddcb4097134ff3c332f>
    <TaxCatchAll xmlns="0724e717-bbe7-4e48-ae6a-faff532bb476" xsi:nil="true"/>
    <_dlc_DocId xmlns="0724e717-bbe7-4e48-ae6a-faff532bb476">CSELS-1493394556-45377</_dlc_DocId>
    <_dlc_DocIdUrl xmlns="0724e717-bbe7-4e48-ae6a-faff532bb476">
      <Url>https://cdc.sharepoint.com/sites/CSELS/DLS/Training/_layouts/15/DocIdRedir.aspx?ID=CSELS-1493394556-45377</Url>
      <Description>CSELS-1493394556-45377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C86F4880FAC849A25EFA985B3E5D8B" ma:contentTypeVersion="1306" ma:contentTypeDescription="Create a new document." ma:contentTypeScope="" ma:versionID="0639ed2d05339f7ed960c54ba7370b0f">
  <xsd:schema xmlns:xsd="http://www.w3.org/2001/XMLSchema" xmlns:xs="http://www.w3.org/2001/XMLSchema" xmlns:p="http://schemas.microsoft.com/office/2006/metadata/properties" xmlns:ns2="0724e717-bbe7-4e48-ae6a-faff532bb476" xmlns:ns3="ac8adce5-4867-4491-b8a8-7ad9cedf74dd" xmlns:ns4="0ae2426c-2c1a-4d2a-9f9e-db071f9f1e87" targetNamespace="http://schemas.microsoft.com/office/2006/metadata/properties" ma:root="true" ma:fieldsID="ea5d0beb3c29a0c81e4b67e70dffd496" ns2:_="" ns3:_="" ns4:_="">
    <xsd:import namespace="0724e717-bbe7-4e48-ae6a-faff532bb476"/>
    <xsd:import namespace="ac8adce5-4867-4491-b8a8-7ad9cedf74dd"/>
    <xsd:import namespace="0ae2426c-2c1a-4d2a-9f9e-db071f9f1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8adce5-4867-4491-b8a8-7ad9cedf74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2426c-2c1a-4d2a-9f9e-db071f9f1e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3D8A6-5AB0-4924-A396-FA4C8FA58310}">
  <ds:schemaRefs>
    <ds:schemaRef ds:uri="http://schemas.microsoft.com/office/2006/metadata/properties"/>
    <ds:schemaRef ds:uri="http://schemas.microsoft.com/office/infopath/2007/PartnerControls"/>
    <ds:schemaRef ds:uri="ac8adce5-4867-4491-b8a8-7ad9cedf74dd"/>
    <ds:schemaRef ds:uri="0724e717-bbe7-4e48-ae6a-faff532bb476"/>
  </ds:schemaRefs>
</ds:datastoreItem>
</file>

<file path=customXml/itemProps2.xml><?xml version="1.0" encoding="utf-8"?>
<ds:datastoreItem xmlns:ds="http://schemas.openxmlformats.org/officeDocument/2006/customXml" ds:itemID="{1267769C-B769-4F9C-BA03-BBAFA6C4D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ac8adce5-4867-4491-b8a8-7ad9cedf74dd"/>
    <ds:schemaRef ds:uri="0ae2426c-2c1a-4d2a-9f9e-db071f9f1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06261-25EC-487C-B377-5F5C22F4145F}">
  <ds:schemaRefs>
    <ds:schemaRef ds:uri="http://schemas.openxmlformats.org/officeDocument/2006/bibliography"/>
  </ds:schemaRefs>
</ds:datastoreItem>
</file>

<file path=customXml/itemProps4.xml><?xml version="1.0" encoding="utf-8"?>
<ds:datastoreItem xmlns:ds="http://schemas.openxmlformats.org/officeDocument/2006/customXml" ds:itemID="{6D8B2DEF-5A05-446A-A044-CE9DBAEB2CBB}">
  <ds:schemaRefs>
    <ds:schemaRef ds:uri="http://schemas.microsoft.com/sharepoint/events"/>
  </ds:schemaRefs>
</ds:datastoreItem>
</file>

<file path=customXml/itemProps5.xml><?xml version="1.0" encoding="utf-8"?>
<ds:datastoreItem xmlns:ds="http://schemas.openxmlformats.org/officeDocument/2006/customXml" ds:itemID="{E3D40A48-6730-4561-BCC9-C3DF7CC1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Waters, Sean (CDC/DDPHSS/CSELS/DLS)</cp:lastModifiedBy>
  <cp:revision>7</cp:revision>
  <cp:lastPrinted>2015-06-12T12:04:00Z</cp:lastPrinted>
  <dcterms:created xsi:type="dcterms:W3CDTF">2023-02-07T17:52:00Z</dcterms:created>
  <dcterms:modified xsi:type="dcterms:W3CDTF">2023-05-23T14:46:00Z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2022-09-16T17:51:39Z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356127b2-167e-4639-b679-42d8b0cbcbcb</vt:lpwstr>
  </property>
  <property fmtid="{D5CDD505-2E9C-101B-9397-08002B2CF9AE}" pid="8" name="MSIP_Label_7b94a7b8-f06c-4dfe-bdcc-9b548fd58c31_ContentBits">
    <vt:lpwstr>0</vt:lpwstr>
  </property>
  <property fmtid="{D5CDD505-2E9C-101B-9397-08002B2CF9AE}" pid="9" name="GrammarlyDocumentId">
    <vt:lpwstr>f71b1eb7d203150603544fbc1975966afb68ddc51e0194e87b2c685c9630e25a</vt:lpwstr>
  </property>
  <property fmtid="{D5CDD505-2E9C-101B-9397-08002B2CF9AE}" pid="10" name="ContentTypeId">
    <vt:lpwstr>0x01010015C86F4880FAC849A25EFA985B3E5D8B</vt:lpwstr>
  </property>
  <property fmtid="{D5CDD505-2E9C-101B-9397-08002B2CF9AE}" pid="11" name="_dlc_DocIdItemGuid">
    <vt:lpwstr>86d81780-1df7-4cbf-941c-ff2659ae296e</vt:lpwstr>
  </property>
  <property fmtid="{D5CDD505-2E9C-101B-9397-08002B2CF9AE}" pid="12" name="MediaServiceImageTags">
    <vt:lpwstr/>
  </property>
</Properties>
</file>