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DB76" w14:textId="77777777" w:rsidR="00820A25" w:rsidRDefault="00820A25">
      <w:pPr>
        <w:pStyle w:val="BodyText"/>
        <w:rPr>
          <w:rFonts w:ascii="Times New Roman"/>
          <w:b/>
          <w:sz w:val="20"/>
        </w:rPr>
      </w:pPr>
    </w:p>
    <w:p w14:paraId="56283F91" w14:textId="62334AC4" w:rsidR="00820A25" w:rsidRDefault="004257B4" w:rsidP="00B61722">
      <w:pPr>
        <w:pStyle w:val="Heading1"/>
        <w:jc w:val="center"/>
      </w:pPr>
      <w:r>
        <w:t>Co</w:t>
      </w:r>
      <w:r w:rsidR="002D17CC">
        <w:t>n</w:t>
      </w:r>
      <w:r>
        <w:t>tinuity of Operations Decision Process Flowchart</w:t>
      </w:r>
    </w:p>
    <w:p w14:paraId="611B87B3" w14:textId="77777777" w:rsidR="004257B4" w:rsidRDefault="004257B4">
      <w:pPr>
        <w:pStyle w:val="BodyText"/>
        <w:spacing w:before="160"/>
        <w:ind w:left="1355"/>
      </w:pPr>
    </w:p>
    <w:p w14:paraId="7831B8B0" w14:textId="77777777" w:rsidR="004257B4" w:rsidRDefault="004257B4">
      <w:pPr>
        <w:pStyle w:val="BodyText"/>
        <w:spacing w:before="160"/>
        <w:ind w:left="1355"/>
      </w:pPr>
    </w:p>
    <w:p w14:paraId="26872FE6" w14:textId="77777777" w:rsidR="004257B4" w:rsidRDefault="004257B4" w:rsidP="00B61722">
      <w:pPr>
        <w:pStyle w:val="BodyText"/>
        <w:spacing w:before="160"/>
        <w:jc w:val="center"/>
      </w:pPr>
      <w:r>
        <w:rPr>
          <w:noProof/>
        </w:rPr>
        <w:drawing>
          <wp:inline distT="0" distB="0" distL="0" distR="0" wp14:anchorId="69DD3ADA" wp14:editId="1EDB7775">
            <wp:extent cx="6266802" cy="4448908"/>
            <wp:effectExtent l="0" t="0" r="0" b="0"/>
            <wp:docPr id="3" name="Picture 4" descr="Continuity of Operations Decision Process Flowchart. See page two for a complete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ntinuity of Operations Decision Process Flowchart. See page two for a complete explanatio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046" cy="4449791"/>
                    </a:xfrm>
                    <a:prstGeom prst="rect">
                      <a:avLst/>
                    </a:prstGeom>
                    <a:noFill/>
                    <a:ln>
                      <a:noFill/>
                    </a:ln>
                  </pic:spPr>
                </pic:pic>
              </a:graphicData>
            </a:graphic>
          </wp:inline>
        </w:drawing>
      </w:r>
    </w:p>
    <w:p w14:paraId="2B455D0D" w14:textId="77777777" w:rsidR="004257B4" w:rsidRDefault="004257B4">
      <w:pPr>
        <w:pStyle w:val="BodyText"/>
        <w:spacing w:before="160"/>
        <w:ind w:left="1355"/>
      </w:pPr>
    </w:p>
    <w:p w14:paraId="27BF7DEC" w14:textId="1151A1D3" w:rsidR="004257B4" w:rsidRDefault="004257B4" w:rsidP="0076129F">
      <w:pPr>
        <w:widowControl/>
        <w:autoSpaceDE/>
        <w:autoSpaceDN/>
        <w:spacing w:before="160"/>
      </w:pPr>
    </w:p>
    <w:p w14:paraId="09529E11" w14:textId="1146FE61" w:rsidR="004257B4" w:rsidRPr="00F07330" w:rsidRDefault="0E64B69C" w:rsidP="0076129F">
      <w:r w:rsidRPr="47AE36AE">
        <w:t xml:space="preserve">This job aid is a component of the free, on-demand CDC training course “Laboratory Continuity of Operations.” Find the course at </w:t>
      </w:r>
      <w:hyperlink r:id="rId11">
        <w:r w:rsidRPr="47AE36AE">
          <w:rPr>
            <w:rStyle w:val="Hyperlink"/>
            <w:rFonts w:eastAsia="Times New Roman"/>
          </w:rPr>
          <w:t>https://</w:t>
        </w:r>
        <w:r w:rsidR="7FC2920D" w:rsidRPr="47AE36AE">
          <w:rPr>
            <w:rStyle w:val="Hyperlink"/>
            <w:rFonts w:eastAsia="Times New Roman"/>
          </w:rPr>
          <w:t>reach.cdc.gov/</w:t>
        </w:r>
        <w:r w:rsidRPr="47AE36AE">
          <w:rPr>
            <w:rStyle w:val="Hyperlink"/>
            <w:rFonts w:eastAsia="Times New Roman"/>
          </w:rPr>
          <w:t>training</w:t>
        </w:r>
      </w:hyperlink>
      <w:r w:rsidRPr="47AE36AE">
        <w:t>.</w:t>
      </w:r>
    </w:p>
    <w:p w14:paraId="78496110" w14:textId="06D21155" w:rsidR="47AE36AE" w:rsidRDefault="47AE36AE" w:rsidP="47AE36AE">
      <w:pPr>
        <w:widowControl/>
        <w:rPr>
          <w:rFonts w:eastAsia="Times New Roman"/>
        </w:rPr>
      </w:pPr>
    </w:p>
    <w:p w14:paraId="7701F6D5" w14:textId="2B2B7463" w:rsidR="0076129F" w:rsidRPr="0076129F" w:rsidRDefault="699B529C" w:rsidP="0076129F">
      <w:pPr>
        <w:widowControl/>
        <w:rPr>
          <w:rFonts w:eastAsia="Times New Roman"/>
        </w:rPr>
      </w:pPr>
      <w:r w:rsidRPr="47AE36AE">
        <w:rPr>
          <w:rFonts w:eastAsia="Times New Roman"/>
        </w:rPr>
        <w:t>v.23</w:t>
      </w:r>
      <w:r w:rsidR="00430660">
        <w:rPr>
          <w:rFonts w:eastAsia="Times New Roman"/>
        </w:rPr>
        <w:t>143</w:t>
      </w:r>
      <w:r w:rsidR="0076129F">
        <w:br w:type="page"/>
      </w:r>
    </w:p>
    <w:p w14:paraId="6337E43D" w14:textId="658F20D8" w:rsidR="004257B4" w:rsidRDefault="0076129F" w:rsidP="0076129F">
      <w:pPr>
        <w:pStyle w:val="Heading1"/>
      </w:pPr>
      <w:r>
        <w:lastRenderedPageBreak/>
        <w:t>Decision Process Flowchart Text Explanation</w:t>
      </w:r>
    </w:p>
    <w:p w14:paraId="3F27A2FE" w14:textId="3A7722B5" w:rsidR="0076129F" w:rsidRDefault="0076129F" w:rsidP="00B61722">
      <w:pPr>
        <w:pStyle w:val="BodyText"/>
      </w:pPr>
      <w:r>
        <w:t>If there is a warning, implement the contingency plan within 24 hours.</w:t>
      </w:r>
    </w:p>
    <w:p w14:paraId="7C98FCAC" w14:textId="311E0DEA" w:rsidR="0076129F" w:rsidRDefault="0076129F" w:rsidP="00B61722">
      <w:pPr>
        <w:pStyle w:val="BodyText"/>
      </w:pPr>
      <w:r>
        <w:t>If you must evacuate the location</w:t>
      </w:r>
      <w:r w:rsidR="004C4010">
        <w:t xml:space="preserve">, </w:t>
      </w:r>
      <w:r>
        <w:t xml:space="preserve">implement </w:t>
      </w:r>
      <w:r w:rsidR="004C4010">
        <w:t xml:space="preserve">the </w:t>
      </w:r>
      <w:r>
        <w:t xml:space="preserve">occupant emergency plans, and </w:t>
      </w:r>
      <w:r w:rsidR="004C4010">
        <w:t xml:space="preserve">monitor the event for up to 48 hours. After </w:t>
      </w:r>
      <w:r w:rsidR="00B61722">
        <w:t>monitoring, if the location is accessible, re-occupy the location, and return to normal operations. If the location is not accessible, then you should activate your COOP plan, implement the plan at ERS, and decide if relocating is possible. If relocation is possible, you should return to normal operations. If relocation is not possible, then you should implement reconstitution plans.</w:t>
      </w:r>
    </w:p>
    <w:p w14:paraId="0E7CF932" w14:textId="77777777" w:rsidR="00B61722" w:rsidRDefault="00B61722" w:rsidP="00B61722">
      <w:pPr>
        <w:pStyle w:val="BodyText"/>
      </w:pPr>
    </w:p>
    <w:p w14:paraId="421A17D7" w14:textId="77777777" w:rsidR="00B61722" w:rsidRDefault="00B61722" w:rsidP="00B61722">
      <w:pPr>
        <w:pStyle w:val="BodyText"/>
      </w:pPr>
      <w:r>
        <w:t>If there is no warning, you should evaluate whether to evacuate the location. If you do not need to evacuate, you’ll return to normal operations. If you must evacuate the location, implement the occupant emergency plans, and monitor the event for up to 48 hours. After monitoring, if the location is accessible, re-occupy the location, and return to normal operations. If the location is not accessible, then you should activate your COOP plan, implement the plan at ERS, and decide if relocating is possible. If relocation is possible, you should return to normal operations. If relocation is not possible, then you should implement reconstitution plans.</w:t>
      </w:r>
    </w:p>
    <w:p w14:paraId="6EC87D91" w14:textId="7E11788E" w:rsidR="00B61722" w:rsidRDefault="00B61722" w:rsidP="00B61722"/>
    <w:p w14:paraId="5A14E600" w14:textId="77777777" w:rsidR="00B61722" w:rsidRDefault="00B61722" w:rsidP="00B61722">
      <w:pPr>
        <w:pStyle w:val="BodyText"/>
      </w:pPr>
    </w:p>
    <w:sectPr w:rsidR="00B61722" w:rsidSect="00CA1C03">
      <w:head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4EBF" w14:textId="77777777" w:rsidR="00282BD5" w:rsidRDefault="00282BD5" w:rsidP="004257B4">
      <w:r>
        <w:separator/>
      </w:r>
    </w:p>
  </w:endnote>
  <w:endnote w:type="continuationSeparator" w:id="0">
    <w:p w14:paraId="6C1A40A9" w14:textId="77777777" w:rsidR="00282BD5" w:rsidRDefault="00282BD5" w:rsidP="0042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0F7B" w14:textId="77777777" w:rsidR="00282BD5" w:rsidRDefault="00282BD5" w:rsidP="004257B4">
      <w:r>
        <w:separator/>
      </w:r>
    </w:p>
  </w:footnote>
  <w:footnote w:type="continuationSeparator" w:id="0">
    <w:p w14:paraId="2E2DEF46" w14:textId="77777777" w:rsidR="00282BD5" w:rsidRDefault="00282BD5" w:rsidP="0042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0F8D" w14:textId="77777777" w:rsidR="004257B4" w:rsidRPr="006C213E" w:rsidRDefault="004257B4" w:rsidP="004257B4">
    <w:pPr>
      <w:pStyle w:val="Header"/>
      <w:rPr>
        <w:sz w:val="28"/>
        <w:szCs w:val="28"/>
      </w:rPr>
    </w:pPr>
    <w:r>
      <w:rPr>
        <w:sz w:val="28"/>
        <w:szCs w:val="28"/>
      </w:rPr>
      <w:t>[</w:t>
    </w:r>
    <w:r w:rsidRPr="006C213E">
      <w:rPr>
        <w:sz w:val="28"/>
        <w:szCs w:val="28"/>
      </w:rPr>
      <w:t>Insert your agency information here</w:t>
    </w:r>
    <w:r>
      <w:rPr>
        <w:sz w:val="28"/>
        <w:szCs w:val="28"/>
      </w:rPr>
      <w:t>]</w:t>
    </w:r>
  </w:p>
  <w:p w14:paraId="75A341B8" w14:textId="77777777" w:rsidR="004257B4" w:rsidRDefault="00425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25"/>
    <w:rsid w:val="00282BD5"/>
    <w:rsid w:val="002D17CC"/>
    <w:rsid w:val="003D67D1"/>
    <w:rsid w:val="003E7B05"/>
    <w:rsid w:val="004257B4"/>
    <w:rsid w:val="00430660"/>
    <w:rsid w:val="004C4010"/>
    <w:rsid w:val="00580F8A"/>
    <w:rsid w:val="005C6753"/>
    <w:rsid w:val="0076129F"/>
    <w:rsid w:val="0077694B"/>
    <w:rsid w:val="008100AD"/>
    <w:rsid w:val="00820A25"/>
    <w:rsid w:val="00821552"/>
    <w:rsid w:val="00902715"/>
    <w:rsid w:val="00B23A91"/>
    <w:rsid w:val="00B61722"/>
    <w:rsid w:val="00BC287F"/>
    <w:rsid w:val="00CA1C03"/>
    <w:rsid w:val="00D03193"/>
    <w:rsid w:val="00F21577"/>
    <w:rsid w:val="06487FC8"/>
    <w:rsid w:val="0E64B69C"/>
    <w:rsid w:val="44E2C8E1"/>
    <w:rsid w:val="47AE36AE"/>
    <w:rsid w:val="492D8D66"/>
    <w:rsid w:val="699B529C"/>
    <w:rsid w:val="7FC292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30FB6"/>
  <w15:docId w15:val="{1E97A067-2E13-42B0-B3D1-1131DA66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22"/>
    <w:pPr>
      <w:spacing w:line="360" w:lineRule="auto"/>
    </w:pPr>
    <w:rPr>
      <w:rFonts w:ascii="Calibri" w:eastAsia="Calibri" w:hAnsi="Calibri" w:cs="Calibri"/>
      <w:sz w:val="24"/>
    </w:rPr>
  </w:style>
  <w:style w:type="paragraph" w:styleId="Heading1">
    <w:name w:val="heading 1"/>
    <w:basedOn w:val="Normal"/>
    <w:next w:val="Normal"/>
    <w:link w:val="Heading1Char"/>
    <w:uiPriority w:val="9"/>
    <w:qFormat/>
    <w:rsid w:val="00B61722"/>
    <w:pPr>
      <w:keepNext/>
      <w:keepLines/>
      <w:spacing w:before="240"/>
      <w:outlineLvl w:val="0"/>
    </w:pPr>
    <w:rPr>
      <w:rFonts w:asciiTheme="minorHAnsi" w:eastAsiaTheme="majorEastAsia" w:hAnsiTheme="minorHAnsi"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1722"/>
    <w:rPr>
      <w:bCs/>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57B4"/>
    <w:pPr>
      <w:tabs>
        <w:tab w:val="center" w:pos="4680"/>
        <w:tab w:val="right" w:pos="9360"/>
      </w:tabs>
    </w:pPr>
  </w:style>
  <w:style w:type="character" w:customStyle="1" w:styleId="HeaderChar">
    <w:name w:val="Header Char"/>
    <w:basedOn w:val="DefaultParagraphFont"/>
    <w:link w:val="Header"/>
    <w:uiPriority w:val="99"/>
    <w:rsid w:val="004257B4"/>
    <w:rPr>
      <w:rFonts w:ascii="Calibri" w:eastAsia="Calibri" w:hAnsi="Calibri" w:cs="Calibri"/>
    </w:rPr>
  </w:style>
  <w:style w:type="paragraph" w:styleId="Footer">
    <w:name w:val="footer"/>
    <w:basedOn w:val="Normal"/>
    <w:link w:val="FooterChar"/>
    <w:uiPriority w:val="99"/>
    <w:unhideWhenUsed/>
    <w:rsid w:val="004257B4"/>
    <w:pPr>
      <w:tabs>
        <w:tab w:val="center" w:pos="4680"/>
        <w:tab w:val="right" w:pos="9360"/>
      </w:tabs>
    </w:pPr>
  </w:style>
  <w:style w:type="character" w:customStyle="1" w:styleId="FooterChar">
    <w:name w:val="Footer Char"/>
    <w:basedOn w:val="DefaultParagraphFont"/>
    <w:link w:val="Footer"/>
    <w:uiPriority w:val="99"/>
    <w:rsid w:val="004257B4"/>
    <w:rPr>
      <w:rFonts w:ascii="Calibri" w:eastAsia="Calibri" w:hAnsi="Calibri" w:cs="Calibri"/>
    </w:rPr>
  </w:style>
  <w:style w:type="character" w:styleId="Hyperlink">
    <w:name w:val="Hyperlink"/>
    <w:basedOn w:val="DefaultParagraphFont"/>
    <w:uiPriority w:val="99"/>
    <w:unhideWhenUsed/>
    <w:rsid w:val="004257B4"/>
    <w:rPr>
      <w:color w:val="0000FF" w:themeColor="hyperlink"/>
      <w:u w:val="single"/>
    </w:rPr>
  </w:style>
  <w:style w:type="character" w:customStyle="1" w:styleId="Heading1Char">
    <w:name w:val="Heading 1 Char"/>
    <w:basedOn w:val="DefaultParagraphFont"/>
    <w:link w:val="Heading1"/>
    <w:uiPriority w:val="9"/>
    <w:rsid w:val="00B61722"/>
    <w:rPr>
      <w:rFonts w:eastAsiaTheme="majorEastAsia" w:cstheme="majorBidi"/>
      <w:b/>
      <w:color w:val="244061"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cdc.gov/train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CSELS-1621824651-1557</_dlc_DocId>
    <_dlc_DocIdUrl xmlns="0724e717-bbe7-4e48-ae6a-faff532bb476">
      <Url>https://cdc.sharepoint.com/sites/CSELS/DLS/Training/_layouts/15/DocIdRedir.aspx?ID=CSELS-1621824651-1557</Url>
      <Description>CSELS-1621824651-1557</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8F49B4-47B6-4092-AFED-F58AFF4D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7DA17-76D5-4F21-842C-154D08F6866C}">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3.xml><?xml version="1.0" encoding="utf-8"?>
<ds:datastoreItem xmlns:ds="http://schemas.openxmlformats.org/officeDocument/2006/customXml" ds:itemID="{19C00247-D71A-4C7F-9CA7-33C1E0E517A1}">
  <ds:schemaRefs>
    <ds:schemaRef ds:uri="http://schemas.microsoft.com/sharepoint/v3/contenttype/forms"/>
  </ds:schemaRefs>
</ds:datastoreItem>
</file>

<file path=customXml/itemProps4.xml><?xml version="1.0" encoding="utf-8"?>
<ds:datastoreItem xmlns:ds="http://schemas.openxmlformats.org/officeDocument/2006/customXml" ds:itemID="{9524B779-1CED-406E-ABCD-37A2509AAE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220</Words>
  <Characters>1343</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Continuity of Operations Decision Process Flowchart</vt:lpstr>
    </vt:vector>
  </TitlesOfParts>
  <Manager/>
  <Company>Centers for Disease Control and Prevention</Company>
  <LinksUpToDate>false</LinksUpToDate>
  <CharactersWithSpaces>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Decision Process Flowchart</dc:title>
  <dc:subject>Decision Process Flowchart</dc:subject>
  <dc:creator>CDC Division of Laboratory Systems</dc:creator>
  <cp:keywords>cdc,division,of,lab,laboratory,systems,continuity,operations,decision,process,flowchart</cp:keywords>
  <dc:description/>
  <cp:lastModifiedBy>Jeannie Cherie Baughn</cp:lastModifiedBy>
  <cp:revision>19</cp:revision>
  <cp:lastPrinted>2020-08-13T14:38:00Z</cp:lastPrinted>
  <dcterms:created xsi:type="dcterms:W3CDTF">2023-01-18T19:48:00Z</dcterms:created>
  <dcterms:modified xsi:type="dcterms:W3CDTF">2023-05-23T19:15:00Z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2017-11-30T10:00:00Z</vt:filetime>
  </property>
  <property fmtid="{D5CDD505-2E9C-101B-9397-08002B2CF9AE}" pid="3" name="Creator">
    <vt:lpwstr>Acrobat PDFMaker 15 for Word</vt:lpwstr>
  </property>
  <property fmtid="{D5CDD505-2E9C-101B-9397-08002B2CF9AE}" pid="4" name="LastSaved">
    <vt:filetime>2020-06-04T10:00:00Z</vt:filetime>
  </property>
  <property fmtid="{D5CDD505-2E9C-101B-9397-08002B2CF9AE}" pid="5" name="ContentTypeId">
    <vt:lpwstr>0x0101005EFDCB35CB51F740B91A7FB630791FC9</vt:lpwstr>
  </property>
  <property fmtid="{D5CDD505-2E9C-101B-9397-08002B2CF9AE}" pid="6" name="_dlc_DocIdItemGuid">
    <vt:lpwstr>c5d38126-ae02-48d8-a948-4e69c22b3090</vt:lpwstr>
  </property>
  <property fmtid="{D5CDD505-2E9C-101B-9397-08002B2CF9AE}" pid="7" name="MediaServiceImageTags">
    <vt:lpwstr/>
  </property>
  <property fmtid="{D5CDD505-2E9C-101B-9397-08002B2CF9AE}" pid="8" name="MSIP_Label_8af03ff0-41c5-4c41-b55e-fabb8fae94be_Enabled">
    <vt:lpwstr>true</vt:lpwstr>
  </property>
  <property fmtid="{D5CDD505-2E9C-101B-9397-08002B2CF9AE}" pid="9" name="MSIP_Label_8af03ff0-41c5-4c41-b55e-fabb8fae94be_SetDate">
    <vt:lpwstr>2023-01-18T19:48:24Z</vt:lpwstr>
  </property>
  <property fmtid="{D5CDD505-2E9C-101B-9397-08002B2CF9AE}" pid="10" name="MSIP_Label_8af03ff0-41c5-4c41-b55e-fabb8fae94be_Method">
    <vt:lpwstr>Privileged</vt:lpwstr>
  </property>
  <property fmtid="{D5CDD505-2E9C-101B-9397-08002B2CF9AE}" pid="11" name="MSIP_Label_8af03ff0-41c5-4c41-b55e-fabb8fae94be_Name">
    <vt:lpwstr>8af03ff0-41c5-4c41-b55e-fabb8fae94be</vt:lpwstr>
  </property>
  <property fmtid="{D5CDD505-2E9C-101B-9397-08002B2CF9AE}" pid="12" name="MSIP_Label_8af03ff0-41c5-4c41-b55e-fabb8fae94be_SiteId">
    <vt:lpwstr>9ce70869-60db-44fd-abe8-d2767077fc8f</vt:lpwstr>
  </property>
  <property fmtid="{D5CDD505-2E9C-101B-9397-08002B2CF9AE}" pid="13" name="MSIP_Label_8af03ff0-41c5-4c41-b55e-fabb8fae94be_ActionId">
    <vt:lpwstr>b2514d81-7a8c-4cd0-bc2c-a71400b5d098</vt:lpwstr>
  </property>
  <property fmtid="{D5CDD505-2E9C-101B-9397-08002B2CF9AE}" pid="14" name="MSIP_Label_8af03ff0-41c5-4c41-b55e-fabb8fae94be_ContentBits">
    <vt:lpwstr>0</vt:lpwstr>
  </property>
</Properties>
</file>