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A2" w:rsidRDefault="005F4BA2">
      <w:pPr>
        <w:spacing w:before="76"/>
        <w:ind w:left="104"/>
        <w:rPr>
          <w:b/>
          <w:i/>
          <w:sz w:val="38"/>
        </w:rPr>
      </w:pPr>
      <w:bookmarkStart w:id="0" w:name="_GoBack"/>
      <w:bookmarkEnd w:id="0"/>
    </w:p>
    <w:p w:rsidR="002E5FC0" w:rsidRPr="002E5FC0" w:rsidRDefault="007C3DF0" w:rsidP="002E5FC0">
      <w:pPr>
        <w:spacing w:before="76"/>
        <w:ind w:left="104"/>
        <w:rPr>
          <w:b/>
          <w:color w:val="1F497D" w:themeColor="text2"/>
          <w:sz w:val="38"/>
        </w:rPr>
      </w:pPr>
      <w:r w:rsidRPr="002E5FC0">
        <w:rPr>
          <w:b/>
          <w:i/>
          <w:color w:val="1F497D" w:themeColor="text2"/>
          <w:sz w:val="38"/>
        </w:rPr>
        <w:t xml:space="preserve">Yersinia pestis </w:t>
      </w:r>
      <w:r w:rsidRPr="002E5FC0">
        <w:rPr>
          <w:b/>
          <w:color w:val="1F497D" w:themeColor="text2"/>
          <w:sz w:val="38"/>
        </w:rPr>
        <w:t>Differentiation Chart</w:t>
      </w:r>
    </w:p>
    <w:p w:rsidR="0006232C" w:rsidRPr="005F4BA2" w:rsidRDefault="0006232C">
      <w:pPr>
        <w:rPr>
          <w:b/>
          <w:sz w:val="20"/>
        </w:rPr>
      </w:pPr>
    </w:p>
    <w:p w:rsidR="0006232C" w:rsidRDefault="0006232C">
      <w:pPr>
        <w:spacing w:before="3"/>
        <w:rPr>
          <w:b/>
          <w:sz w:val="17"/>
        </w:rPr>
      </w:pPr>
    </w:p>
    <w:p w:rsidR="0006232C" w:rsidRDefault="007C3DF0">
      <w:pPr>
        <w:pStyle w:val="BodyText"/>
        <w:spacing w:before="95" w:after="30" w:line="256" w:lineRule="auto"/>
        <w:ind w:left="3582" w:hanging="2741"/>
      </w:pPr>
      <w:r>
        <w:t xml:space="preserve">Differentiation of </w:t>
      </w:r>
      <w:r>
        <w:rPr>
          <w:i/>
        </w:rPr>
        <w:t xml:space="preserve">Y. pestis </w:t>
      </w:r>
      <w:r>
        <w:t>from other Organisms by Conventional Microbiology Procedures</w:t>
      </w:r>
    </w:p>
    <w:p w:rsidR="002E5FC0" w:rsidRDefault="002E5FC0">
      <w:pPr>
        <w:pStyle w:val="BodyText"/>
        <w:spacing w:before="95" w:after="30" w:line="256" w:lineRule="auto"/>
        <w:ind w:left="3582" w:hanging="2741"/>
      </w:pPr>
    </w:p>
    <w:tbl>
      <w:tblPr>
        <w:tblStyle w:val="TableGrid"/>
        <w:tblW w:w="11340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2520"/>
        <w:gridCol w:w="1530"/>
        <w:gridCol w:w="1508"/>
        <w:gridCol w:w="1684"/>
        <w:gridCol w:w="1195"/>
        <w:gridCol w:w="1373"/>
        <w:gridCol w:w="1530"/>
      </w:tblGrid>
      <w:tr w:rsidR="0006232C" w:rsidTr="00A05E96">
        <w:trPr>
          <w:trHeight w:hRule="exact" w:val="671"/>
        </w:trPr>
        <w:tc>
          <w:tcPr>
            <w:tcW w:w="2520" w:type="dxa"/>
          </w:tcPr>
          <w:p w:rsidR="0006232C" w:rsidRDefault="007C3DF0">
            <w:pPr>
              <w:pStyle w:val="TableParagraph"/>
              <w:spacing w:before="46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Organism</w:t>
            </w:r>
          </w:p>
        </w:tc>
        <w:tc>
          <w:tcPr>
            <w:tcW w:w="1530" w:type="dxa"/>
          </w:tcPr>
          <w:p w:rsidR="0006232C" w:rsidRDefault="007C3DF0">
            <w:pPr>
              <w:pStyle w:val="TableParagraph"/>
              <w:spacing w:before="46" w:line="256" w:lineRule="auto"/>
              <w:ind w:right="604"/>
              <w:rPr>
                <w:b/>
                <w:sz w:val="21"/>
              </w:rPr>
            </w:pPr>
            <w:r>
              <w:rPr>
                <w:b/>
                <w:sz w:val="21"/>
              </w:rPr>
              <w:t>Gram Stain</w:t>
            </w:r>
          </w:p>
        </w:tc>
        <w:tc>
          <w:tcPr>
            <w:tcW w:w="1508" w:type="dxa"/>
          </w:tcPr>
          <w:p w:rsidR="00F7784A" w:rsidRDefault="007C3DF0">
            <w:pPr>
              <w:pStyle w:val="TableParagraph"/>
              <w:spacing w:before="46" w:line="256" w:lineRule="auto"/>
              <w:rPr>
                <w:b/>
                <w:bCs/>
                <w:color w:val="FFFFFF" w:themeColor="background1"/>
                <w:sz w:val="21"/>
              </w:rPr>
            </w:pPr>
            <w:r>
              <w:rPr>
                <w:b/>
                <w:sz w:val="21"/>
              </w:rPr>
              <w:t xml:space="preserve">Growth </w:t>
            </w:r>
          </w:p>
          <w:p w:rsidR="0006232C" w:rsidRDefault="007C3DF0">
            <w:pPr>
              <w:pStyle w:val="TableParagraph"/>
              <w:spacing w:before="46" w:line="25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on SBA</w:t>
            </w:r>
          </w:p>
        </w:tc>
        <w:tc>
          <w:tcPr>
            <w:tcW w:w="1684" w:type="dxa"/>
          </w:tcPr>
          <w:p w:rsidR="0006232C" w:rsidRDefault="007C3DF0">
            <w:pPr>
              <w:pStyle w:val="TableParagraph"/>
              <w:spacing w:before="46" w:line="256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Growth on MacConkey</w:t>
            </w:r>
          </w:p>
        </w:tc>
        <w:tc>
          <w:tcPr>
            <w:tcW w:w="1195" w:type="dxa"/>
          </w:tcPr>
          <w:p w:rsidR="0006232C" w:rsidRDefault="007C3DF0">
            <w:pPr>
              <w:pStyle w:val="TableParagraph"/>
              <w:spacing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Oxidase</w:t>
            </w:r>
          </w:p>
        </w:tc>
        <w:tc>
          <w:tcPr>
            <w:tcW w:w="1373" w:type="dxa"/>
          </w:tcPr>
          <w:p w:rsidR="0006232C" w:rsidRDefault="007C3DF0">
            <w:pPr>
              <w:pStyle w:val="TableParagraph"/>
              <w:spacing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Catalase</w:t>
            </w:r>
          </w:p>
        </w:tc>
        <w:tc>
          <w:tcPr>
            <w:tcW w:w="1530" w:type="dxa"/>
          </w:tcPr>
          <w:p w:rsidR="0006232C" w:rsidRDefault="007C3DF0">
            <w:pPr>
              <w:pStyle w:val="TableParagraph"/>
              <w:spacing w:before="46"/>
              <w:rPr>
                <w:b/>
                <w:sz w:val="21"/>
              </w:rPr>
            </w:pPr>
            <w:r>
              <w:rPr>
                <w:b/>
                <w:sz w:val="21"/>
              </w:rPr>
              <w:t>Urease</w:t>
            </w:r>
          </w:p>
        </w:tc>
      </w:tr>
      <w:tr w:rsidR="0006232C" w:rsidTr="00A05E96">
        <w:trPr>
          <w:trHeight w:hRule="exact" w:val="1009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304" w:lineRule="auto"/>
              <w:ind w:left="86" w:right="1363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Yersinia pestis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Slow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Non-Lactose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</w:tr>
      <w:tr w:rsidR="0006232C" w:rsidTr="00A05E96">
        <w:trPr>
          <w:trHeight w:hRule="exact" w:val="1009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304" w:lineRule="auto"/>
              <w:ind w:left="86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Yersinia pseudotuberculosis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Slow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Non-Lactose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</w:tr>
      <w:tr w:rsidR="0006232C" w:rsidTr="00A05E96">
        <w:trPr>
          <w:trHeight w:hRule="exact" w:val="727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256" w:lineRule="auto"/>
              <w:ind w:left="86" w:right="679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Yersinia enterocolitica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Slow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256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Non-Lactose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</w:tr>
      <w:tr w:rsidR="0006232C" w:rsidTr="00A05E96">
        <w:trPr>
          <w:trHeight w:hRule="exact" w:val="727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304" w:lineRule="auto"/>
              <w:ind w:left="86" w:right="679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Escherichia coli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Good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304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</w:tr>
      <w:tr w:rsidR="0006232C" w:rsidTr="00A05E96">
        <w:trPr>
          <w:trHeight w:hRule="exact" w:val="1212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256" w:lineRule="auto"/>
              <w:ind w:left="86" w:right="679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Klebsiella pneumoniae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spacing w:line="256" w:lineRule="auto"/>
              <w:ind w:right="200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Very good, 2-4 mm</w:t>
            </w:r>
          </w:p>
          <w:p w:rsidR="002E5FC0" w:rsidRDefault="007C3DF0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 xml:space="preserve">colonies </w:t>
            </w:r>
          </w:p>
          <w:p w:rsidR="0006232C" w:rsidRPr="002E5FC0" w:rsidRDefault="007C3DF0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 xml:space="preserve">24 </w:t>
            </w:r>
            <w:r w:rsidR="002E5FC0" w:rsidRPr="002E5FC0">
              <w:rPr>
                <w:sz w:val="20"/>
                <w:szCs w:val="20"/>
              </w:rPr>
              <w:t>hrs.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304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256" w:lineRule="auto"/>
              <w:ind w:right="302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Positive/ Negative</w:t>
            </w:r>
          </w:p>
        </w:tc>
      </w:tr>
      <w:tr w:rsidR="0006232C" w:rsidTr="00A05E96">
        <w:trPr>
          <w:trHeight w:hRule="exact" w:val="852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304" w:lineRule="auto"/>
              <w:ind w:left="86" w:right="679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>Enterobacter cloacae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Good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spacing w:line="304" w:lineRule="auto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Lactose Fermenter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Variable</w:t>
            </w:r>
          </w:p>
        </w:tc>
      </w:tr>
      <w:tr w:rsidR="0006232C" w:rsidTr="00A05E96">
        <w:trPr>
          <w:trHeight w:hRule="exact" w:val="727"/>
        </w:trPr>
        <w:tc>
          <w:tcPr>
            <w:tcW w:w="2520" w:type="dxa"/>
          </w:tcPr>
          <w:p w:rsidR="0006232C" w:rsidRPr="002E5FC0" w:rsidRDefault="007C3DF0">
            <w:pPr>
              <w:pStyle w:val="TableParagraph"/>
              <w:spacing w:line="256" w:lineRule="auto"/>
              <w:ind w:left="86" w:right="679"/>
              <w:rPr>
                <w:b/>
                <w:i/>
                <w:sz w:val="20"/>
                <w:szCs w:val="20"/>
              </w:rPr>
            </w:pPr>
            <w:r w:rsidRPr="002E5FC0">
              <w:rPr>
                <w:b/>
                <w:i/>
                <w:sz w:val="20"/>
                <w:szCs w:val="20"/>
              </w:rPr>
              <w:t xml:space="preserve">Pasteurella </w:t>
            </w:r>
            <w:proofErr w:type="spellStart"/>
            <w:r w:rsidRPr="002E5FC0">
              <w:rPr>
                <w:b/>
                <w:i/>
                <w:sz w:val="20"/>
                <w:szCs w:val="20"/>
              </w:rPr>
              <w:t>multocida</w:t>
            </w:r>
            <w:proofErr w:type="spellEnd"/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spacing w:line="304" w:lineRule="auto"/>
              <w:ind w:right="358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Gram negative</w:t>
            </w:r>
          </w:p>
        </w:tc>
        <w:tc>
          <w:tcPr>
            <w:tcW w:w="1508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Good</w:t>
            </w:r>
          </w:p>
        </w:tc>
        <w:tc>
          <w:tcPr>
            <w:tcW w:w="1684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Variable</w:t>
            </w:r>
          </w:p>
        </w:tc>
        <w:tc>
          <w:tcPr>
            <w:tcW w:w="1195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373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Positive</w:t>
            </w:r>
          </w:p>
        </w:tc>
        <w:tc>
          <w:tcPr>
            <w:tcW w:w="1530" w:type="dxa"/>
          </w:tcPr>
          <w:p w:rsidR="0006232C" w:rsidRPr="002E5FC0" w:rsidRDefault="007C3DF0">
            <w:pPr>
              <w:pStyle w:val="TableParagraph"/>
              <w:rPr>
                <w:sz w:val="20"/>
                <w:szCs w:val="20"/>
              </w:rPr>
            </w:pPr>
            <w:r w:rsidRPr="002E5FC0">
              <w:rPr>
                <w:sz w:val="20"/>
                <w:szCs w:val="20"/>
              </w:rPr>
              <w:t>Negative</w:t>
            </w:r>
          </w:p>
        </w:tc>
      </w:tr>
    </w:tbl>
    <w:p w:rsidR="0006232C" w:rsidRDefault="0006232C">
      <w:pPr>
        <w:rPr>
          <w:b/>
          <w:sz w:val="32"/>
        </w:rPr>
      </w:pPr>
    </w:p>
    <w:p w:rsidR="0006232C" w:rsidRDefault="0006232C">
      <w:pPr>
        <w:rPr>
          <w:b/>
          <w:sz w:val="32"/>
        </w:rPr>
      </w:pPr>
    </w:p>
    <w:p w:rsidR="0006232C" w:rsidRDefault="0006232C">
      <w:pPr>
        <w:rPr>
          <w:b/>
          <w:sz w:val="32"/>
        </w:rPr>
      </w:pPr>
    </w:p>
    <w:p w:rsidR="0006232C" w:rsidRDefault="0006232C">
      <w:pPr>
        <w:rPr>
          <w:b/>
          <w:sz w:val="32"/>
        </w:rPr>
      </w:pPr>
    </w:p>
    <w:p w:rsidR="0006232C" w:rsidRDefault="0006232C">
      <w:pPr>
        <w:rPr>
          <w:b/>
          <w:sz w:val="32"/>
        </w:rPr>
      </w:pPr>
    </w:p>
    <w:p w:rsidR="0006232C" w:rsidRDefault="0006232C">
      <w:pPr>
        <w:rPr>
          <w:b/>
          <w:sz w:val="32"/>
        </w:rPr>
      </w:pPr>
    </w:p>
    <w:p w:rsidR="00ED7EA0" w:rsidRDefault="00ED7EA0">
      <w:pPr>
        <w:rPr>
          <w:b/>
          <w:sz w:val="32"/>
        </w:rPr>
      </w:pPr>
    </w:p>
    <w:sectPr w:rsidR="00ED7EA0" w:rsidSect="002E5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31" w:right="900" w:bottom="280" w:left="76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A0" w:rsidRDefault="00ED7EA0" w:rsidP="00ED7EA0">
      <w:r>
        <w:separator/>
      </w:r>
    </w:p>
  </w:endnote>
  <w:endnote w:type="continuationSeparator" w:id="0">
    <w:p w:rsidR="00ED7EA0" w:rsidRDefault="00ED7EA0" w:rsidP="00E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14" w:rsidRDefault="00F6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FC0" w:rsidRPr="00BD1AC8" w:rsidRDefault="002E5FC0" w:rsidP="002E5FC0">
    <w:pPr>
      <w:pStyle w:val="Footer"/>
      <w:rPr>
        <w:rFonts w:asciiTheme="minorHAnsi" w:hAnsiTheme="minorHAnsi" w:cstheme="minorHAnsi"/>
      </w:rPr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r w:rsidRPr="00BD1AC8">
      <w:rPr>
        <w:rFonts w:asciiTheme="minorHAnsi" w:eastAsia="Times New Roman" w:hAnsiTheme="minorHAnsi" w:cstheme="minorHAnsi"/>
        <w:i/>
        <w:iCs/>
      </w:rPr>
      <w:t>Yersinia Pestis</w:t>
    </w:r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:rsidR="002E5FC0" w:rsidRDefault="002E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14" w:rsidRDefault="00F6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A0" w:rsidRDefault="00ED7EA0" w:rsidP="00ED7EA0">
      <w:r>
        <w:separator/>
      </w:r>
    </w:p>
  </w:footnote>
  <w:footnote w:type="continuationSeparator" w:id="0">
    <w:p w:rsidR="00ED7EA0" w:rsidRDefault="00ED7EA0" w:rsidP="00ED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14" w:rsidRDefault="00F6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96" w:rsidRDefault="00A05E96" w:rsidP="00A05E96">
    <w:pPr>
      <w:pStyle w:val="Header"/>
    </w:pPr>
    <w:r w:rsidRPr="00CB2364">
      <w:rPr>
        <w:rFonts w:ascii="Calibri" w:hAnsi="Calibri"/>
        <w:noProof/>
      </w:rPr>
      <w:t>[Insert your agency information here.]</w:t>
    </w:r>
  </w:p>
  <w:p w:rsidR="005F4BA2" w:rsidRDefault="005F4BA2">
    <w:pPr>
      <w:pStyle w:val="Header"/>
    </w:pPr>
  </w:p>
  <w:p w:rsidR="005F4BA2" w:rsidRDefault="005F4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14" w:rsidRDefault="00F6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2C"/>
    <w:rsid w:val="0006232C"/>
    <w:rsid w:val="002E5FC0"/>
    <w:rsid w:val="005F4BA2"/>
    <w:rsid w:val="007C3DF0"/>
    <w:rsid w:val="008F2163"/>
    <w:rsid w:val="00A05E96"/>
    <w:rsid w:val="00DD077C"/>
    <w:rsid w:val="00ED7EA0"/>
    <w:rsid w:val="00F67D14"/>
    <w:rsid w:val="00F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7A727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95"/>
    </w:pPr>
  </w:style>
  <w:style w:type="paragraph" w:styleId="Header">
    <w:name w:val="header"/>
    <w:basedOn w:val="Normal"/>
    <w:link w:val="HeaderChar"/>
    <w:uiPriority w:val="99"/>
    <w:unhideWhenUsed/>
    <w:rsid w:val="00ED7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E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7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EA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D7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EA0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2E5FC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8F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CSELS-1165620290-2196</_dlc_DocId>
    <_dlc_DocIdUrl xmlns="0724e717-bbe7-4e48-ae6a-faff532bb476">
      <Url>https://cdc.sharepoint.com/sites/CSELS/DLS/Comms/_layouts/15/DocIdRedir.aspx?ID=CSELS-1165620290-2196</Url>
      <Description>CSELS-1165620290-2196</Description>
    </_dlc_DocIdUrl>
  </documentManagement>
</p:properties>
</file>

<file path=customXml/itemProps1.xml><?xml version="1.0" encoding="utf-8"?>
<ds:datastoreItem xmlns:ds="http://schemas.openxmlformats.org/officeDocument/2006/customXml" ds:itemID="{8D4D3C7C-CB2B-4DBA-A68D-E1D1E4F8D6B1}"/>
</file>

<file path=customXml/itemProps2.xml><?xml version="1.0" encoding="utf-8"?>
<ds:datastoreItem xmlns:ds="http://schemas.openxmlformats.org/officeDocument/2006/customXml" ds:itemID="{800DCAB6-6CA9-4A43-8D39-9A29972864C9}"/>
</file>

<file path=customXml/itemProps3.xml><?xml version="1.0" encoding="utf-8"?>
<ds:datastoreItem xmlns:ds="http://schemas.openxmlformats.org/officeDocument/2006/customXml" ds:itemID="{8FCF30EF-CBE5-4060-9E7C-2C4C6BDCC32A}"/>
</file>

<file path=customXml/itemProps4.xml><?xml version="1.0" encoding="utf-8"?>
<ds:datastoreItem xmlns:ds="http://schemas.openxmlformats.org/officeDocument/2006/customXml" ds:itemID="{CCBE090D-3806-442E-8091-F39355019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2</cp:revision>
  <dcterms:created xsi:type="dcterms:W3CDTF">2021-01-12T20:33:00Z</dcterms:created>
  <dcterms:modified xsi:type="dcterms:W3CDTF">2021-01-12T20:33:00Z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2021-01-12T20:33:23Z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76407886-c238-4fe5-aaf5-8bc23ec4847e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54425439-f2bb-4c94-b28c-ed84d2968562</vt:lpwstr>
  </property>
</Properties>
</file>