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6EFC" w14:textId="77777777" w:rsidR="00066F13" w:rsidRPr="00D57D64" w:rsidRDefault="000E7323">
      <w:pPr>
        <w:pStyle w:val="BodyText"/>
        <w:spacing w:before="99"/>
        <w:ind w:left="1971"/>
        <w:rPr>
          <w:rFonts w:asciiTheme="minorHAnsi" w:hAnsiTheme="minorHAnsi" w:cstheme="minorHAnsi"/>
        </w:rPr>
      </w:pPr>
      <w:r w:rsidRPr="00D57D64">
        <w:rPr>
          <w:rFonts w:asciiTheme="minorHAnsi" w:hAnsiTheme="minorHAnsi" w:cstheme="minorHAnsi"/>
        </w:rPr>
        <w:t>Testing, Training, and Exercise Capabilities Table</w:t>
      </w:r>
    </w:p>
    <w:p w14:paraId="0582BCAD" w14:textId="77777777" w:rsidR="00066F13" w:rsidRPr="00D57D64" w:rsidRDefault="00066F13">
      <w:pPr>
        <w:rPr>
          <w:rFonts w:asciiTheme="minorHAnsi" w:hAnsiTheme="minorHAnsi" w:cstheme="minorHAnsi"/>
          <w:b/>
          <w:sz w:val="20"/>
        </w:rPr>
      </w:pPr>
    </w:p>
    <w:p w14:paraId="038CE788" w14:textId="77777777" w:rsidR="00066F13" w:rsidRPr="00D57D64" w:rsidRDefault="00066F13">
      <w:pPr>
        <w:spacing w:before="3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2876"/>
      </w:tblGrid>
      <w:tr w:rsidR="00066F13" w:rsidRPr="00D57D64" w14:paraId="59E3A43E" w14:textId="77777777">
        <w:trPr>
          <w:trHeight w:hRule="exact" w:val="586"/>
        </w:trPr>
        <w:tc>
          <w:tcPr>
            <w:tcW w:w="7196" w:type="dxa"/>
            <w:shd w:val="clear" w:color="auto" w:fill="003366"/>
          </w:tcPr>
          <w:p w14:paraId="4F9B061A" w14:textId="77777777" w:rsidR="00066F13" w:rsidRPr="00D57D64" w:rsidRDefault="000E73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57D64">
              <w:rPr>
                <w:rFonts w:asciiTheme="minorHAnsi" w:hAnsiTheme="minorHAnsi" w:cstheme="minorHAnsi"/>
                <w:b/>
                <w:color w:val="FFFFFF"/>
              </w:rPr>
              <w:t>Continuity Testing, Training, and Exercise (TT&amp;E) Requirements</w:t>
            </w:r>
          </w:p>
        </w:tc>
        <w:tc>
          <w:tcPr>
            <w:tcW w:w="2876" w:type="dxa"/>
            <w:shd w:val="clear" w:color="auto" w:fill="003366"/>
          </w:tcPr>
          <w:p w14:paraId="0945E80B" w14:textId="77777777" w:rsidR="00066F13" w:rsidRPr="00D57D64" w:rsidRDefault="000E7323">
            <w:pPr>
              <w:pStyle w:val="TableParagraph"/>
              <w:ind w:right="215"/>
              <w:rPr>
                <w:rFonts w:asciiTheme="minorHAnsi" w:hAnsiTheme="minorHAnsi" w:cstheme="minorHAnsi"/>
                <w:b/>
              </w:rPr>
            </w:pPr>
            <w:r w:rsidRPr="00D57D64">
              <w:rPr>
                <w:rFonts w:asciiTheme="minorHAnsi" w:hAnsiTheme="minorHAnsi" w:cstheme="minorHAnsi"/>
                <w:b/>
                <w:color w:val="FFFFFF"/>
              </w:rPr>
              <w:t>Monthly, Quarterly, Annually, or As Required</w:t>
            </w:r>
          </w:p>
        </w:tc>
      </w:tr>
      <w:tr w:rsidR="00066F13" w:rsidRPr="00D57D64" w14:paraId="2A888278" w14:textId="77777777">
        <w:trPr>
          <w:trHeight w:hRule="exact" w:val="604"/>
        </w:trPr>
        <w:tc>
          <w:tcPr>
            <w:tcW w:w="7196" w:type="dxa"/>
          </w:tcPr>
          <w:p w14:paraId="0D20CBD9" w14:textId="77777777" w:rsidR="00066F13" w:rsidRPr="00D57D64" w:rsidRDefault="000E732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and validate equipment to ensure internal and external interoperability and viability of communications systems</w:t>
            </w:r>
          </w:p>
        </w:tc>
        <w:tc>
          <w:tcPr>
            <w:tcW w:w="2876" w:type="dxa"/>
          </w:tcPr>
          <w:p w14:paraId="3E38F7D5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01CE2C8" w14:textId="77777777">
        <w:trPr>
          <w:trHeight w:hRule="exact" w:val="604"/>
        </w:trPr>
        <w:tc>
          <w:tcPr>
            <w:tcW w:w="7196" w:type="dxa"/>
          </w:tcPr>
          <w:p w14:paraId="5201F223" w14:textId="77777777" w:rsidR="00066F13" w:rsidRPr="00D57D64" w:rsidRDefault="000E732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alert, notification and activation procedures for designated all continuity personnel</w:t>
            </w:r>
          </w:p>
        </w:tc>
        <w:tc>
          <w:tcPr>
            <w:tcW w:w="2876" w:type="dxa"/>
          </w:tcPr>
          <w:p w14:paraId="2FB2F990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64DBA0BB" w14:textId="77777777">
        <w:trPr>
          <w:trHeight w:hRule="exact" w:val="602"/>
        </w:trPr>
        <w:tc>
          <w:tcPr>
            <w:tcW w:w="7196" w:type="dxa"/>
          </w:tcPr>
          <w:p w14:paraId="6F34C17C" w14:textId="77777777" w:rsidR="00066F13" w:rsidRPr="00D57D64" w:rsidRDefault="000E7323">
            <w:pPr>
              <w:pStyle w:val="TableParagraph"/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primary and backup infrastructure systems and services at designated continuity facilities</w:t>
            </w:r>
          </w:p>
        </w:tc>
        <w:tc>
          <w:tcPr>
            <w:tcW w:w="2876" w:type="dxa"/>
          </w:tcPr>
          <w:p w14:paraId="55EFA00B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504C4D36" w14:textId="77777777">
        <w:trPr>
          <w:trHeight w:hRule="exact" w:val="587"/>
        </w:trPr>
        <w:tc>
          <w:tcPr>
            <w:tcW w:w="7196" w:type="dxa"/>
          </w:tcPr>
          <w:p w14:paraId="58B224DC" w14:textId="77777777" w:rsidR="00066F13" w:rsidRPr="00D57D64" w:rsidRDefault="000E732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capabilities to identify and perform essential functions</w:t>
            </w:r>
          </w:p>
        </w:tc>
        <w:tc>
          <w:tcPr>
            <w:tcW w:w="2876" w:type="dxa"/>
          </w:tcPr>
          <w:p w14:paraId="453D0096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4E4A85FF" w14:textId="77777777">
        <w:trPr>
          <w:trHeight w:hRule="exact" w:val="602"/>
        </w:trPr>
        <w:tc>
          <w:tcPr>
            <w:tcW w:w="7196" w:type="dxa"/>
          </w:tcPr>
          <w:p w14:paraId="1A3AFED7" w14:textId="77777777" w:rsidR="00066F13" w:rsidRPr="00D57D64" w:rsidRDefault="000E732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plans for recovering vital records, critical information systems, services and data</w:t>
            </w:r>
          </w:p>
        </w:tc>
        <w:tc>
          <w:tcPr>
            <w:tcW w:w="2876" w:type="dxa"/>
          </w:tcPr>
          <w:p w14:paraId="644F38FF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674205DF" w14:textId="77777777">
        <w:trPr>
          <w:trHeight w:hRule="exact" w:val="604"/>
        </w:trPr>
        <w:tc>
          <w:tcPr>
            <w:tcW w:w="7196" w:type="dxa"/>
          </w:tcPr>
          <w:p w14:paraId="1C036F0A" w14:textId="77777777" w:rsidR="00066F13" w:rsidRPr="00D57D64" w:rsidRDefault="000E7323">
            <w:pPr>
              <w:pStyle w:val="TableParagraph"/>
              <w:spacing w:before="1" w:line="276" w:lineRule="auto"/>
              <w:ind w:right="500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and exercise required physical security capabilities at designated continuity facilities</w:t>
            </w:r>
          </w:p>
        </w:tc>
        <w:tc>
          <w:tcPr>
            <w:tcW w:w="2876" w:type="dxa"/>
          </w:tcPr>
          <w:p w14:paraId="4AC79F95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334C1904" w14:textId="77777777">
        <w:trPr>
          <w:trHeight w:hRule="exact" w:val="604"/>
        </w:trPr>
        <w:tc>
          <w:tcPr>
            <w:tcW w:w="7196" w:type="dxa"/>
          </w:tcPr>
          <w:p w14:paraId="6AE827AE" w14:textId="77777777" w:rsidR="00066F13" w:rsidRPr="00D57D64" w:rsidRDefault="000E732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performance of essential functions internal and external interdependencies</w:t>
            </w:r>
          </w:p>
        </w:tc>
        <w:tc>
          <w:tcPr>
            <w:tcW w:w="2876" w:type="dxa"/>
          </w:tcPr>
          <w:p w14:paraId="67473F16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49827B8F" w14:textId="77777777">
        <w:trPr>
          <w:trHeight w:hRule="exact" w:val="586"/>
        </w:trPr>
        <w:tc>
          <w:tcPr>
            <w:tcW w:w="7196" w:type="dxa"/>
          </w:tcPr>
          <w:p w14:paraId="0968891F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Train designated continuity personnel on roles and responsibilities</w:t>
            </w:r>
          </w:p>
        </w:tc>
        <w:tc>
          <w:tcPr>
            <w:tcW w:w="2876" w:type="dxa"/>
          </w:tcPr>
          <w:p w14:paraId="0A611580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21981669" w14:textId="77777777">
        <w:trPr>
          <w:trHeight w:hRule="exact" w:val="604"/>
        </w:trPr>
        <w:tc>
          <w:tcPr>
            <w:tcW w:w="7196" w:type="dxa"/>
          </w:tcPr>
          <w:p w14:paraId="2DCAEF4C" w14:textId="77777777" w:rsidR="00066F13" w:rsidRPr="00D57D64" w:rsidRDefault="000E7323">
            <w:pPr>
              <w:pStyle w:val="TableParagraph"/>
              <w:spacing w:line="278" w:lineRule="auto"/>
              <w:ind w:right="686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continuity awareness briefings or orientation for the entire workforce</w:t>
            </w:r>
          </w:p>
        </w:tc>
        <w:tc>
          <w:tcPr>
            <w:tcW w:w="2876" w:type="dxa"/>
          </w:tcPr>
          <w:p w14:paraId="5D4B01FC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ED8A35F" w14:textId="77777777">
        <w:trPr>
          <w:trHeight w:hRule="exact" w:val="586"/>
        </w:trPr>
        <w:tc>
          <w:tcPr>
            <w:tcW w:w="7196" w:type="dxa"/>
          </w:tcPr>
          <w:p w14:paraId="62A08944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Train organization leadership on the essential functions</w:t>
            </w:r>
          </w:p>
        </w:tc>
        <w:tc>
          <w:tcPr>
            <w:tcW w:w="2876" w:type="dxa"/>
          </w:tcPr>
          <w:p w14:paraId="43BEEEB6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38DAA5AE" w14:textId="77777777">
        <w:trPr>
          <w:trHeight w:hRule="exact" w:val="586"/>
        </w:trPr>
        <w:tc>
          <w:tcPr>
            <w:tcW w:w="7196" w:type="dxa"/>
          </w:tcPr>
          <w:p w14:paraId="28003287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Train all personnel on all reconstitution plans and procedures</w:t>
            </w:r>
          </w:p>
        </w:tc>
        <w:tc>
          <w:tcPr>
            <w:tcW w:w="2876" w:type="dxa"/>
          </w:tcPr>
          <w:p w14:paraId="2A9F35AB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4C9C18D2" w14:textId="77777777">
        <w:trPr>
          <w:trHeight w:hRule="exact" w:val="900"/>
        </w:trPr>
        <w:tc>
          <w:tcPr>
            <w:tcW w:w="7196" w:type="dxa"/>
          </w:tcPr>
          <w:p w14:paraId="3712E5C5" w14:textId="77777777" w:rsidR="00066F13" w:rsidRPr="00D57D64" w:rsidRDefault="000E732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Allow opportunity for designated continuity personnel to demonstrate familiarity with continuity plans and procedures and demonstrate organization’s capability to continue essential functions.</w:t>
            </w:r>
          </w:p>
        </w:tc>
        <w:tc>
          <w:tcPr>
            <w:tcW w:w="2876" w:type="dxa"/>
          </w:tcPr>
          <w:p w14:paraId="6B057D12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FDFFE68" w14:textId="77777777">
        <w:trPr>
          <w:trHeight w:hRule="exact" w:val="604"/>
        </w:trPr>
        <w:tc>
          <w:tcPr>
            <w:tcW w:w="7196" w:type="dxa"/>
          </w:tcPr>
          <w:p w14:paraId="1B70FEBE" w14:textId="77777777" w:rsidR="00066F13" w:rsidRPr="00D57D64" w:rsidRDefault="000E7323">
            <w:pPr>
              <w:pStyle w:val="TableParagraph"/>
              <w:spacing w:before="1" w:line="276" w:lineRule="auto"/>
              <w:ind w:right="645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exercise incorporating deliberate, preplanned movement of continuity personnel to continuity facilities</w:t>
            </w:r>
          </w:p>
        </w:tc>
        <w:tc>
          <w:tcPr>
            <w:tcW w:w="2876" w:type="dxa"/>
          </w:tcPr>
          <w:p w14:paraId="58E97951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F28D7C8" w14:textId="77777777">
        <w:trPr>
          <w:trHeight w:hRule="exact" w:val="604"/>
        </w:trPr>
        <w:tc>
          <w:tcPr>
            <w:tcW w:w="7196" w:type="dxa"/>
          </w:tcPr>
          <w:p w14:paraId="1F2F976D" w14:textId="77777777" w:rsidR="00066F13" w:rsidRPr="00D57D64" w:rsidRDefault="000E7323">
            <w:pPr>
              <w:pStyle w:val="TableParagraph"/>
              <w:spacing w:line="276" w:lineRule="auto"/>
              <w:ind w:right="573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assessment of organization’s continuity TT&amp;E programs and continuity plans and programs</w:t>
            </w:r>
          </w:p>
        </w:tc>
        <w:tc>
          <w:tcPr>
            <w:tcW w:w="2876" w:type="dxa"/>
          </w:tcPr>
          <w:p w14:paraId="7FD0FA8C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7A8B5DB0" w14:textId="77777777">
        <w:trPr>
          <w:trHeight w:hRule="exact" w:val="586"/>
        </w:trPr>
        <w:tc>
          <w:tcPr>
            <w:tcW w:w="7196" w:type="dxa"/>
          </w:tcPr>
          <w:p w14:paraId="2CEABE24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Reports findings of all annual assessments as directed to FEMA</w:t>
            </w:r>
          </w:p>
        </w:tc>
        <w:tc>
          <w:tcPr>
            <w:tcW w:w="2876" w:type="dxa"/>
          </w:tcPr>
          <w:p w14:paraId="448D448B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681FEAB5" w14:textId="77777777">
        <w:trPr>
          <w:trHeight w:hRule="exact" w:val="900"/>
        </w:trPr>
        <w:tc>
          <w:tcPr>
            <w:tcW w:w="7196" w:type="dxa"/>
          </w:tcPr>
          <w:p w14:paraId="4F9616EE" w14:textId="77777777" w:rsidR="00066F13" w:rsidRPr="00D57D64" w:rsidRDefault="000E7323">
            <w:pPr>
              <w:pStyle w:val="TableParagraph"/>
              <w:spacing w:line="276" w:lineRule="auto"/>
              <w:ind w:right="812"/>
              <w:jc w:val="both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successor training for all personnel designated to assume authority and responsibility within the organization in the event of organization leader are unavailable</w:t>
            </w:r>
          </w:p>
        </w:tc>
        <w:tc>
          <w:tcPr>
            <w:tcW w:w="2876" w:type="dxa"/>
          </w:tcPr>
          <w:p w14:paraId="4BFA9B2D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</w:tbl>
    <w:p w14:paraId="6DDBBDA7" w14:textId="638F67DA" w:rsidR="00D57D64" w:rsidRPr="00D57D64" w:rsidRDefault="00D57D64" w:rsidP="69397ABD">
      <w:pPr>
        <w:rPr>
          <w:rFonts w:asciiTheme="minorHAnsi" w:hAnsiTheme="minorHAnsi" w:cstheme="minorBidi"/>
        </w:rPr>
      </w:pPr>
    </w:p>
    <w:p w14:paraId="32FCF912" w14:textId="53A2D084" w:rsidR="001C71A9" w:rsidRPr="00D57D64" w:rsidRDefault="37A2FCAA" w:rsidP="647AF0F3">
      <w:pPr>
        <w:widowControl/>
        <w:autoSpaceDE/>
        <w:autoSpaceDN/>
        <w:rPr>
          <w:rFonts w:asciiTheme="minorHAnsi" w:eastAsia="Times New Roman" w:hAnsiTheme="minorHAnsi" w:cstheme="minorBidi"/>
        </w:rPr>
      </w:pPr>
      <w:r w:rsidRPr="69397ABD">
        <w:rPr>
          <w:rFonts w:asciiTheme="minorHAnsi" w:eastAsia="Times New Roman" w:hAnsiTheme="minorHAnsi" w:cstheme="minorBidi"/>
        </w:rPr>
        <w:t xml:space="preserve">This job aid is a component of the free, on-demand CDC training course “Laboratory Continuity of Operations.” Find the course at </w:t>
      </w:r>
      <w:hyperlink r:id="rId10">
        <w:r w:rsidRPr="69397ABD">
          <w:rPr>
            <w:rStyle w:val="Hyperlink"/>
            <w:rFonts w:asciiTheme="minorHAnsi" w:eastAsia="Times New Roman" w:hAnsiTheme="minorHAnsi" w:cstheme="minorBidi"/>
          </w:rPr>
          <w:t>https://</w:t>
        </w:r>
        <w:r w:rsidR="0DF3EA81" w:rsidRPr="69397ABD">
          <w:rPr>
            <w:rStyle w:val="Hyperlink"/>
            <w:rFonts w:asciiTheme="minorHAnsi" w:eastAsia="Times New Roman" w:hAnsiTheme="minorHAnsi" w:cstheme="minorBidi"/>
          </w:rPr>
          <w:t>reach.cdc.gov/</w:t>
        </w:r>
        <w:r w:rsidRPr="69397ABD">
          <w:rPr>
            <w:rStyle w:val="Hyperlink"/>
            <w:rFonts w:asciiTheme="minorHAnsi" w:eastAsia="Times New Roman" w:hAnsiTheme="minorHAnsi" w:cstheme="minorBidi"/>
          </w:rPr>
          <w:t>training</w:t>
        </w:r>
      </w:hyperlink>
      <w:r w:rsidRPr="69397ABD">
        <w:rPr>
          <w:rFonts w:asciiTheme="minorHAnsi" w:eastAsia="Times New Roman" w:hAnsiTheme="minorHAnsi" w:cstheme="minorBidi"/>
        </w:rPr>
        <w:t>.</w:t>
      </w:r>
    </w:p>
    <w:p w14:paraId="3E5903B5" w14:textId="5A538022" w:rsidR="69397ABD" w:rsidRDefault="69397ABD" w:rsidP="69397ABD">
      <w:pPr>
        <w:widowControl/>
        <w:rPr>
          <w:rFonts w:asciiTheme="minorHAnsi" w:eastAsia="Times New Roman" w:hAnsiTheme="minorHAnsi" w:cstheme="minorBidi"/>
        </w:rPr>
      </w:pPr>
    </w:p>
    <w:p w14:paraId="0078A092" w14:textId="69954DBC" w:rsidR="3BD94501" w:rsidRDefault="3BD94501" w:rsidP="69397ABD">
      <w:pPr>
        <w:rPr>
          <w:rFonts w:ascii="Calibri" w:eastAsia="Calibri" w:hAnsi="Calibri" w:cs="Calibri"/>
        </w:rPr>
      </w:pPr>
      <w:r w:rsidRPr="69397ABD">
        <w:rPr>
          <w:rFonts w:ascii="Calibri" w:eastAsia="Calibri" w:hAnsi="Calibri" w:cs="Calibri"/>
        </w:rPr>
        <w:t>v.23</w:t>
      </w:r>
      <w:r w:rsidR="00531E11">
        <w:rPr>
          <w:rFonts w:ascii="Calibri" w:eastAsia="Calibri" w:hAnsi="Calibri" w:cs="Calibri"/>
        </w:rPr>
        <w:t>031</w:t>
      </w:r>
    </w:p>
    <w:p w14:paraId="2DEBE73B" w14:textId="77777777" w:rsidR="00A47C58" w:rsidRPr="00D57D64" w:rsidRDefault="00A47C58">
      <w:pPr>
        <w:rPr>
          <w:rFonts w:asciiTheme="minorHAnsi" w:hAnsiTheme="minorHAnsi" w:cstheme="minorHAnsi"/>
        </w:rPr>
      </w:pPr>
    </w:p>
    <w:sectPr w:rsidR="00A47C58" w:rsidRPr="00D57D64" w:rsidSect="001C71A9">
      <w:headerReference w:type="default" r:id="rId11"/>
      <w:type w:val="continuous"/>
      <w:pgSz w:w="12240" w:h="15840"/>
      <w:pgMar w:top="1722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D278" w14:textId="77777777" w:rsidR="006E5615" w:rsidRDefault="006E5615" w:rsidP="00A47C58">
      <w:r>
        <w:separator/>
      </w:r>
    </w:p>
  </w:endnote>
  <w:endnote w:type="continuationSeparator" w:id="0">
    <w:p w14:paraId="2EC7345F" w14:textId="77777777" w:rsidR="006E5615" w:rsidRDefault="006E5615" w:rsidP="00A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3525" w14:textId="77777777" w:rsidR="006E5615" w:rsidRDefault="006E5615" w:rsidP="00A47C58">
      <w:r>
        <w:separator/>
      </w:r>
    </w:p>
  </w:footnote>
  <w:footnote w:type="continuationSeparator" w:id="0">
    <w:p w14:paraId="1396197B" w14:textId="77777777" w:rsidR="006E5615" w:rsidRDefault="006E5615" w:rsidP="00A4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5DD4" w14:textId="45D5502F" w:rsidR="00A47C58" w:rsidRPr="00D57D64" w:rsidRDefault="00D57D64">
    <w:pPr>
      <w:pStyle w:val="Header"/>
      <w:rPr>
        <w:rFonts w:asciiTheme="minorHAnsi" w:hAnsiTheme="minorHAnsi" w:cstheme="minorHAnsi"/>
      </w:rPr>
    </w:pPr>
    <w:r w:rsidRPr="00D57D64">
      <w:rPr>
        <w:rFonts w:asciiTheme="minorHAnsi" w:hAnsiTheme="minorHAnsi" w:cstheme="minorHAnsi"/>
        <w:sz w:val="28"/>
        <w:szCs w:val="28"/>
      </w:rPr>
      <w:t>[Insert your agency information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3"/>
    <w:rsid w:val="000638D9"/>
    <w:rsid w:val="00066F13"/>
    <w:rsid w:val="000E7323"/>
    <w:rsid w:val="001C71A9"/>
    <w:rsid w:val="00531E11"/>
    <w:rsid w:val="006E5615"/>
    <w:rsid w:val="009B2383"/>
    <w:rsid w:val="00A47C58"/>
    <w:rsid w:val="00D57D64"/>
    <w:rsid w:val="0DF3EA81"/>
    <w:rsid w:val="37A2FCAA"/>
    <w:rsid w:val="3BD94501"/>
    <w:rsid w:val="647AF0F3"/>
    <w:rsid w:val="693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8082"/>
  <w15:docId w15:val="{11229149-121A-4BE6-B661-F095D24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4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5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4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58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47C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CSELS-1621824651-1543</_dlc_DocId>
    <_dlc_DocIdUrl xmlns="0724e717-bbe7-4e48-ae6a-faff532bb476">
      <Url>https://cdc.sharepoint.com/sites/CSELS/DLS/Training/_layouts/15/DocIdRedir.aspx?ID=CSELS-1621824651-1543</Url>
      <Description>CSELS-1621824651-1543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9B733A-7567-4F45-9098-5248F9CCD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E75FD-897B-43B6-9EEB-77DCC0CE9663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3.xml><?xml version="1.0" encoding="utf-8"?>
<ds:datastoreItem xmlns:ds="http://schemas.openxmlformats.org/officeDocument/2006/customXml" ds:itemID="{B3BA0B88-FE70-4F4B-B5D2-B714E2CB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110C4-DB50-41FF-B58B-DC52FE8ACB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Centers for Disease Control and Prevention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Testing, Training, and Exercise Capabilities Table</dc:title>
  <dc:creator>Slaughter, Kimberly (CDC/OPHSS/CSELS)</dc:creator>
  <cp:lastModifiedBy>Jeannie Cherie Baughn</cp:lastModifiedBy>
  <cp:revision>9</cp:revision>
  <cp:lastPrinted>2020-08-12T20:23:00Z</cp:lastPrinted>
  <dcterms:created xsi:type="dcterms:W3CDTF">2023-01-18T21:17:00Z</dcterms:created>
  <dcterms:modified xsi:type="dcterms:W3CDTF">2023-01-31T20:46:00Z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bfaacde4-ad2a-4619-a3a0-fc536ae98d09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2023-01-18T21:17:51Z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b090fbf1-8633-4556-964e-ade1fb588302</vt:lpwstr>
  </property>
  <property fmtid="{D5CDD505-2E9C-101B-9397-08002B2CF9AE}" pid="14" name="MSIP_Label_8af03ff0-41c5-4c41-b55e-fabb8fae94be_ContentBits">
    <vt:lpwstr>0</vt:lpwstr>
  </property>
</Properties>
</file>