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16D1" w14:textId="49142368" w:rsidR="00A624DF" w:rsidRPr="00A624DF" w:rsidRDefault="00A679F7" w:rsidP="00A624DF">
      <w:pPr>
        <w:spacing w:line="571" w:lineRule="exact"/>
        <w:ind w:left="103"/>
        <w:jc w:val="center"/>
        <w:rPr>
          <w:b/>
          <w:color w:val="0095D6"/>
          <w:sz w:val="10"/>
          <w:szCs w:val="10"/>
        </w:rPr>
      </w:pPr>
      <w:r w:rsidRPr="00B5105F">
        <w:rPr>
          <w:b/>
          <w:color w:val="0095D6"/>
          <w:sz w:val="32"/>
          <w:szCs w:val="32"/>
        </w:rPr>
        <w:t>Pretesting</w:t>
      </w:r>
      <w:r w:rsidRPr="00B5105F">
        <w:rPr>
          <w:b/>
          <w:color w:val="FFFFFF"/>
          <w:sz w:val="32"/>
          <w:szCs w:val="32"/>
        </w:rPr>
        <w:t xml:space="preserve"> </w:t>
      </w:r>
      <w:r w:rsidRPr="00B5105F">
        <w:rPr>
          <w:b/>
          <w:color w:val="0095D6"/>
          <w:sz w:val="32"/>
          <w:szCs w:val="32"/>
        </w:rPr>
        <w:t>Task Checklist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68307A" w14:paraId="3604EBC8" w14:textId="77777777" w:rsidTr="00225FC1">
        <w:trPr>
          <w:trHeight w:hRule="exact" w:val="569"/>
          <w:jc w:val="center"/>
        </w:trPr>
        <w:tc>
          <w:tcPr>
            <w:tcW w:w="9818" w:type="dxa"/>
            <w:shd w:val="clear" w:color="auto" w:fill="B41F24"/>
          </w:tcPr>
          <w:p w14:paraId="2C46DFD0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PREPARE WORK AREA</w:t>
            </w:r>
          </w:p>
        </w:tc>
      </w:tr>
      <w:tr w:rsidR="0068307A" w14:paraId="45331CB4" w14:textId="77777777" w:rsidTr="00225FC1">
        <w:trPr>
          <w:trHeight w:hRule="exact" w:val="1325"/>
          <w:jc w:val="center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75D61A7D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25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clean?</w:t>
            </w:r>
            <w:r>
              <w:rPr>
                <w:spacing w:val="-3"/>
              </w:rPr>
              <w:t xml:space="preserve"> </w:t>
            </w:r>
            <w:r>
              <w:t>Routinely</w:t>
            </w:r>
            <w:r>
              <w:rPr>
                <w:spacing w:val="-3"/>
              </w:rPr>
              <w:t xml:space="preserve"> </w:t>
            </w:r>
            <w:r>
              <w:t>clean and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testing.</w:t>
            </w:r>
          </w:p>
          <w:p w14:paraId="31C32E83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</w:pPr>
            <w:r>
              <w:t>Is your work area well lit? Ensure adequate lighting. Always perform testing in a well-lit</w:t>
            </w:r>
            <w:r>
              <w:rPr>
                <w:spacing w:val="-28"/>
              </w:rPr>
              <w:t xml:space="preserve"> </w:t>
            </w:r>
            <w:r>
              <w:t>area.</w:t>
            </w:r>
          </w:p>
          <w:p w14:paraId="27DC303B" w14:textId="77777777" w:rsidR="0068307A" w:rsidRDefault="00A679F7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18"/>
            </w:pPr>
            <w:r>
              <w:t>Remove clutter or</w:t>
            </w:r>
            <w:r>
              <w:rPr>
                <w:spacing w:val="-10"/>
              </w:rPr>
              <w:t xml:space="preserve"> </w:t>
            </w:r>
            <w:r>
              <w:t>trash.</w:t>
            </w:r>
          </w:p>
        </w:tc>
      </w:tr>
      <w:tr w:rsidR="0068307A" w14:paraId="54FD1F81" w14:textId="77777777" w:rsidTr="00225FC1">
        <w:trPr>
          <w:trHeight w:hRule="exact" w:val="568"/>
          <w:jc w:val="center"/>
        </w:trPr>
        <w:tc>
          <w:tcPr>
            <w:tcW w:w="9818" w:type="dxa"/>
            <w:shd w:val="clear" w:color="auto" w:fill="B41F24"/>
          </w:tcPr>
          <w:p w14:paraId="54E0F3FD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CHECK AND RECORD TEMPERATURES</w:t>
            </w:r>
          </w:p>
        </w:tc>
      </w:tr>
      <w:tr w:rsidR="0068307A" w14:paraId="1D573985" w14:textId="77777777" w:rsidTr="00225FC1">
        <w:trPr>
          <w:trHeight w:hRule="exact" w:val="953"/>
          <w:jc w:val="center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0DAE759A" w14:textId="77777777" w:rsidR="0068307A" w:rsidRDefault="00A679F7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26"/>
            </w:pPr>
            <w:r>
              <w:t>Check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temperatures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refrigerators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testing materials.</w:t>
            </w:r>
          </w:p>
          <w:p w14:paraId="78E25156" w14:textId="77777777" w:rsidR="0068307A" w:rsidRDefault="00A679F7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18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temperatures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performed.</w:t>
            </w:r>
          </w:p>
        </w:tc>
      </w:tr>
      <w:tr w:rsidR="0068307A" w14:paraId="44AD2DB6" w14:textId="77777777" w:rsidTr="00225FC1">
        <w:trPr>
          <w:trHeight w:hRule="exact" w:val="582"/>
          <w:jc w:val="center"/>
        </w:trPr>
        <w:tc>
          <w:tcPr>
            <w:tcW w:w="9818" w:type="dxa"/>
            <w:shd w:val="clear" w:color="auto" w:fill="B41F24"/>
          </w:tcPr>
          <w:p w14:paraId="36465EBC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MAINTAIN EQUIPMENT</w:t>
            </w:r>
          </w:p>
        </w:tc>
      </w:tr>
      <w:tr w:rsidR="0068307A" w14:paraId="7F7B8AE7" w14:textId="77777777" w:rsidTr="00225FC1">
        <w:trPr>
          <w:trHeight w:hRule="exact" w:val="2889"/>
          <w:jc w:val="center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42BF69AC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26"/>
              <w:ind w:right="210"/>
            </w:pPr>
            <w:r>
              <w:t>Wear gloves and clean the surface of the testing equipment before and after each use, to prevent cross</w:t>
            </w:r>
            <w:r>
              <w:rPr>
                <w:spacing w:val="-2"/>
              </w:rPr>
              <w:t xml:space="preserve"> </w:t>
            </w:r>
            <w:r>
              <w:t>contamination.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wash</w:t>
            </w:r>
            <w:r>
              <w:rPr>
                <w:spacing w:val="-4"/>
              </w:rPr>
              <w:t xml:space="preserve"> </w:t>
            </w:r>
            <w:r>
              <w:t>hands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removing</w:t>
            </w:r>
            <w:r>
              <w:rPr>
                <w:spacing w:val="-3"/>
              </w:rPr>
              <w:t xml:space="preserve"> </w:t>
            </w:r>
            <w:r>
              <w:t>gloves.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dry before</w:t>
            </w:r>
            <w:r>
              <w:rPr>
                <w:spacing w:val="-4"/>
              </w:rPr>
              <w:t xml:space="preserve"> </w:t>
            </w:r>
            <w:r>
              <w:t>using.</w:t>
            </w:r>
          </w:p>
          <w:p w14:paraId="4445BB0F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19"/>
            </w:pPr>
            <w:r>
              <w:t>Inspect equipment and electrical connections to be sure they are</w:t>
            </w:r>
            <w:r>
              <w:rPr>
                <w:spacing w:val="-29"/>
              </w:rPr>
              <w:t xml:space="preserve"> </w:t>
            </w:r>
            <w:r>
              <w:t>working.</w:t>
            </w:r>
          </w:p>
          <w:p w14:paraId="4226048B" w14:textId="77777777" w:rsidR="0068307A" w:rsidRDefault="00A679F7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19"/>
            </w:pPr>
            <w:r>
              <w:t>Perform calibration checks if</w:t>
            </w:r>
            <w:r>
              <w:rPr>
                <w:spacing w:val="-16"/>
              </w:rPr>
              <w:t xml:space="preserve"> </w:t>
            </w:r>
            <w:r>
              <w:t>necessary.</w:t>
            </w:r>
          </w:p>
          <w:p w14:paraId="47891705" w14:textId="77777777" w:rsidR="0068307A" w:rsidRDefault="00A679F7">
            <w:pPr>
              <w:pStyle w:val="TableParagraph"/>
              <w:spacing w:before="119"/>
              <w:ind w:left="103" w:firstLine="0"/>
              <w:rPr>
                <w:b/>
              </w:rPr>
            </w:pPr>
            <w:r>
              <w:rPr>
                <w:b/>
              </w:rPr>
              <w:t>*Portable equipment, if moved, might be subject to inaccurate results.</w:t>
            </w:r>
          </w:p>
          <w:p w14:paraId="71450271" w14:textId="77777777" w:rsidR="0068307A" w:rsidRDefault="00A679F7">
            <w:pPr>
              <w:pStyle w:val="TableParagraph"/>
              <w:spacing w:before="118"/>
              <w:ind w:left="103" w:right="160" w:firstLine="0"/>
              <w:rPr>
                <w:b/>
              </w:rPr>
            </w:pPr>
            <w:r>
              <w:rPr>
                <w:b/>
              </w:rPr>
              <w:t>To verify proper test system functioning, perform control testing or calibration check procedures after moving the equipment, even if not required by the current manufacturer.</w:t>
            </w:r>
          </w:p>
        </w:tc>
      </w:tr>
      <w:tr w:rsidR="0068307A" w14:paraId="5100A802" w14:textId="77777777" w:rsidTr="00225FC1">
        <w:trPr>
          <w:trHeight w:hRule="exact" w:val="569"/>
          <w:jc w:val="center"/>
        </w:trPr>
        <w:tc>
          <w:tcPr>
            <w:tcW w:w="9818" w:type="dxa"/>
            <w:shd w:val="clear" w:color="auto" w:fill="B41F24"/>
          </w:tcPr>
          <w:p w14:paraId="418CC8D0" w14:textId="77777777" w:rsidR="0068307A" w:rsidRDefault="00A679F7">
            <w:pPr>
              <w:pStyle w:val="TableParagraph"/>
              <w:ind w:left="107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PREPARE MATERIALS FOR TESTING</w:t>
            </w:r>
          </w:p>
        </w:tc>
      </w:tr>
      <w:tr w:rsidR="0068307A" w14:paraId="254E858A" w14:textId="77777777" w:rsidTr="00225FC1">
        <w:trPr>
          <w:trHeight w:hRule="exact" w:val="4586"/>
          <w:jc w:val="center"/>
        </w:trPr>
        <w:tc>
          <w:tcPr>
            <w:tcW w:w="9818" w:type="dxa"/>
            <w:tcBorders>
              <w:top w:val="single" w:sz="4" w:space="0" w:color="B41F24"/>
              <w:left w:val="single" w:sz="4" w:space="0" w:color="B41F24"/>
              <w:bottom w:val="single" w:sz="4" w:space="0" w:color="B41F24"/>
              <w:right w:val="single" w:sz="4" w:space="0" w:color="B41F24"/>
            </w:tcBorders>
          </w:tcPr>
          <w:p w14:paraId="213A2367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25"/>
              <w:ind w:right="203"/>
            </w:pP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(testing</w:t>
            </w:r>
            <w:r>
              <w:rPr>
                <w:spacing w:val="-4"/>
              </w:rPr>
              <w:t xml:space="preserve"> </w:t>
            </w:r>
            <w:r>
              <w:t>solutions)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supplies</w:t>
            </w:r>
            <w:r>
              <w:rPr>
                <w:spacing w:val="-4"/>
              </w:rPr>
              <w:t xml:space="preserve"> </w:t>
            </w:r>
            <w:r>
              <w:t>on hand for</w:t>
            </w:r>
            <w:r>
              <w:rPr>
                <w:spacing w:val="-6"/>
              </w:rPr>
              <w:t xml:space="preserve"> </w:t>
            </w:r>
            <w:r>
              <w:t>testing.</w:t>
            </w:r>
          </w:p>
          <w:p w14:paraId="4E6CF59E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Check and record expiration dates of reagents and test</w:t>
            </w:r>
            <w:r>
              <w:rPr>
                <w:spacing w:val="-29"/>
              </w:rPr>
              <w:t xml:space="preserve"> </w:t>
            </w:r>
            <w:r>
              <w:t>kits.</w:t>
            </w:r>
          </w:p>
          <w:p w14:paraId="45178803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119"/>
            </w:pPr>
            <w:r>
              <w:t>Discard any reagents or tests that have expired or have been opened for longer than recommended by the current manufacturer’s</w:t>
            </w:r>
            <w:r>
              <w:rPr>
                <w:spacing w:val="-17"/>
              </w:rPr>
              <w:t xml:space="preserve"> </w:t>
            </w:r>
            <w:r>
              <w:t>Instructions.</w:t>
            </w:r>
          </w:p>
          <w:p w14:paraId="32C9BE39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8"/>
              <w:ind w:right="393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kits,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came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lot.</w:t>
            </w:r>
          </w:p>
          <w:p w14:paraId="0093501A" w14:textId="77777777" w:rsidR="0068307A" w:rsidRDefault="00A679F7">
            <w:pPr>
              <w:pStyle w:val="TableParagraph"/>
              <w:spacing w:before="0"/>
              <w:ind w:left="507" w:firstLine="0"/>
              <w:rPr>
                <w:b/>
              </w:rPr>
            </w:pPr>
            <w:r>
              <w:rPr>
                <w:b/>
              </w:rPr>
              <w:t>NOTE:  DO NOT mix reagents from different products or lot numbers</w:t>
            </w:r>
          </w:p>
          <w:p w14:paraId="2E749C2F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Visually inspect reagents or vials for damage, discoloration, or</w:t>
            </w:r>
            <w:r>
              <w:rPr>
                <w:spacing w:val="-25"/>
              </w:rPr>
              <w:t xml:space="preserve"> </w:t>
            </w:r>
            <w:r>
              <w:t>contamination.</w:t>
            </w:r>
          </w:p>
          <w:p w14:paraId="4A988D64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18"/>
            </w:pPr>
            <w:r>
              <w:t>Prepare reagents according to the current manufacturer’s</w:t>
            </w:r>
            <w:r>
              <w:rPr>
                <w:spacing w:val="-25"/>
              </w:rPr>
              <w:t xml:space="preserve"> </w:t>
            </w:r>
            <w:r>
              <w:t>instructions.</w:t>
            </w:r>
          </w:p>
          <w:p w14:paraId="59752442" w14:textId="77777777" w:rsidR="0068307A" w:rsidRDefault="00A679F7">
            <w:pPr>
              <w:pStyle w:val="TableParagraph"/>
              <w:spacing w:before="0"/>
              <w:ind w:left="507" w:firstLine="0"/>
            </w:pPr>
            <w:r>
              <w:t>(If opening a new reagent, write the date opened on the outside of the vial or test kit.)</w:t>
            </w:r>
          </w:p>
          <w:p w14:paraId="7DFCE1EC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Allow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refrigerated</w:t>
            </w:r>
            <w:r>
              <w:rPr>
                <w:spacing w:val="-1"/>
              </w:rPr>
              <w:t xml:space="preserve"> </w:t>
            </w:r>
            <w:r>
              <w:t>reagents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testing.</w:t>
            </w:r>
          </w:p>
          <w:p w14:paraId="697414CA" w14:textId="77777777" w:rsidR="0068307A" w:rsidRDefault="00A679F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</w:pPr>
            <w:r>
              <w:t>Perform quality control testing, as recommended in the current manufacturer’s</w:t>
            </w:r>
            <w:r>
              <w:rPr>
                <w:spacing w:val="-31"/>
              </w:rPr>
              <w:t xml:space="preserve"> </w:t>
            </w:r>
            <w:r>
              <w:t>instructions.</w:t>
            </w:r>
          </w:p>
        </w:tc>
      </w:tr>
    </w:tbl>
    <w:p w14:paraId="6E21FB8D" w14:textId="73B7ABAD" w:rsidR="00A679F7" w:rsidRDefault="00A679F7" w:rsidP="00225FC1">
      <w:pPr>
        <w:widowControl/>
        <w:autoSpaceDE/>
        <w:autoSpaceDN/>
        <w:rPr>
          <w:bCs/>
          <w:sz w:val="20"/>
        </w:rPr>
      </w:pPr>
    </w:p>
    <w:sectPr w:rsidR="00A679F7" w:rsidSect="0022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5D87" w14:textId="77777777" w:rsidR="003747CC" w:rsidRDefault="003747CC" w:rsidP="00A679F7">
      <w:r>
        <w:separator/>
      </w:r>
    </w:p>
  </w:endnote>
  <w:endnote w:type="continuationSeparator" w:id="0">
    <w:p w14:paraId="60A85B3B" w14:textId="77777777" w:rsidR="003747CC" w:rsidRDefault="003747CC" w:rsidP="00A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8CB3" w14:textId="77777777" w:rsidR="001A6AE8" w:rsidRDefault="001A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802D" w14:textId="550E12A3" w:rsidR="00225FC1" w:rsidRPr="001A6AE8" w:rsidRDefault="00225FC1" w:rsidP="001A6AE8">
    <w:pPr>
      <w:widowControl/>
      <w:autoSpaceDE/>
      <w:autoSpaceDN/>
      <w:ind w:left="720"/>
      <w:rPr>
        <w:bCs/>
        <w:sz w:val="20"/>
      </w:rPr>
    </w:pPr>
    <w:r w:rsidRPr="00F07330">
      <w:rPr>
        <w:rFonts w:eastAsia="Times New Roman"/>
      </w:rPr>
      <w:t>This job aid is a component of the free, on-demand CDC training course “</w:t>
    </w:r>
    <w:r>
      <w:rPr>
        <w:rFonts w:eastAsia="Times New Roman"/>
      </w:rPr>
      <w:t>Ready? Set? Test!</w:t>
    </w:r>
    <w:r w:rsidRPr="00F07330">
      <w:rPr>
        <w:rFonts w:eastAsia="Times New Roman"/>
      </w:rPr>
      <w:t xml:space="preserve">” </w:t>
    </w:r>
    <w:r w:rsidRPr="00F07330">
      <w:rPr>
        <w:rFonts w:eastAsia="Times New Roman"/>
      </w:rPr>
      <w:t xml:space="preserve">Find the course at </w:t>
    </w:r>
    <w:hyperlink r:id="rId1" w:history="1">
      <w:r w:rsidR="001A6AE8" w:rsidRPr="00D3343B">
        <w:rPr>
          <w:rStyle w:val="Hyperlink"/>
          <w:rFonts w:eastAsia="Times New Roman"/>
        </w:rPr>
        <w:t>https://</w:t>
      </w:r>
      <w:r w:rsidR="001A6AE8" w:rsidRPr="00D3343B">
        <w:rPr>
          <w:rStyle w:val="Hyperlink"/>
          <w:rFonts w:eastAsia="Times New Roman"/>
        </w:rPr>
        <w:t>reach</w:t>
      </w:r>
      <w:r w:rsidR="001A6AE8" w:rsidRPr="00D3343B">
        <w:rPr>
          <w:rStyle w:val="Hyperlink"/>
          <w:rFonts w:eastAsia="Times New Roman"/>
        </w:rPr>
        <w:t>.cdc.gov/training</w:t>
      </w:r>
    </w:hyperlink>
    <w:r w:rsidRPr="00F07330">
      <w:rPr>
        <w:rFonts w:eastAsia="Times New Roman"/>
      </w:rPr>
      <w:t>.</w:t>
    </w:r>
    <w:r>
      <w:rPr>
        <w:rFonts w:eastAsia="Times New Roman"/>
      </w:rPr>
      <w:t xml:space="preserve">   </w:t>
    </w:r>
    <w:r w:rsidRPr="00A624DF">
      <w:rPr>
        <w:rFonts w:asciiTheme="minorHAnsi" w:eastAsia="Times New Roman" w:hAnsiTheme="minorHAnsi" w:cstheme="minorHAnsi"/>
      </w:rPr>
      <w:t>v.23034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C23E" w14:textId="77777777" w:rsidR="001A6AE8" w:rsidRDefault="001A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DE7" w14:textId="77777777" w:rsidR="003747CC" w:rsidRDefault="003747CC" w:rsidP="00A679F7">
      <w:r>
        <w:separator/>
      </w:r>
    </w:p>
  </w:footnote>
  <w:footnote w:type="continuationSeparator" w:id="0">
    <w:p w14:paraId="5A0AB9BF" w14:textId="77777777" w:rsidR="003747CC" w:rsidRDefault="003747CC" w:rsidP="00A6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DE7" w14:textId="77777777" w:rsidR="001A6AE8" w:rsidRDefault="001A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3484" w14:textId="77777777" w:rsidR="00A679F7" w:rsidRDefault="00B5105F">
    <w:pPr>
      <w:pStyle w:val="Header"/>
    </w:pPr>
    <w:r>
      <w:t>[Insert your agency information here]</w:t>
    </w:r>
  </w:p>
  <w:p w14:paraId="60086340" w14:textId="77777777" w:rsidR="00A679F7" w:rsidRDefault="00A6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4DA2" w14:textId="77777777" w:rsidR="001A6AE8" w:rsidRDefault="001A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041"/>
    <w:multiLevelType w:val="hybridMultilevel"/>
    <w:tmpl w:val="E8B28508"/>
    <w:lvl w:ilvl="0" w:tplc="25884574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D8ACBC08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272ACE5C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2A40266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FAB233DA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98F801E2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AD621494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D50E19B6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DAA443FA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" w15:restartNumberingAfterBreak="0">
    <w:nsid w:val="1D19011D"/>
    <w:multiLevelType w:val="hybridMultilevel"/>
    <w:tmpl w:val="A30CA748"/>
    <w:lvl w:ilvl="0" w:tplc="F0906662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1A6A9CCA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7F7AF72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6C8E6A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082E212E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4DD2CA3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AEC34E4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971C89A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4480C3A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2" w15:restartNumberingAfterBreak="0">
    <w:nsid w:val="44B51B72"/>
    <w:multiLevelType w:val="hybridMultilevel"/>
    <w:tmpl w:val="3CBAF88A"/>
    <w:lvl w:ilvl="0" w:tplc="8A30D0F8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7A06A6D4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27C1EAA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BD22733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CAF0F0DC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B866D3C2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45A0568A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7A24564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C2CAEA6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3" w15:restartNumberingAfterBreak="0">
    <w:nsid w:val="6FE86282"/>
    <w:multiLevelType w:val="hybridMultilevel"/>
    <w:tmpl w:val="CD12BF5C"/>
    <w:lvl w:ilvl="0" w:tplc="E35E3A20">
      <w:numFmt w:val="bullet"/>
      <w:lvlText w:val="□"/>
      <w:lvlJc w:val="left"/>
      <w:pPr>
        <w:ind w:left="463" w:hanging="360"/>
      </w:pPr>
      <w:rPr>
        <w:rFonts w:ascii="Wingdings 2" w:eastAsia="Wingdings 2" w:hAnsi="Wingdings 2" w:cs="Wingdings 2" w:hint="default"/>
        <w:b/>
        <w:bCs/>
        <w:w w:val="139"/>
        <w:position w:val="1"/>
        <w:sz w:val="22"/>
        <w:szCs w:val="22"/>
      </w:rPr>
    </w:lvl>
    <w:lvl w:ilvl="1" w:tplc="52EEFCC8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5134B912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9EB4C6EE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3C805A22"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2E4A24CA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A77CAB2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297E309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B58D020">
      <w:numFmt w:val="bullet"/>
      <w:lvlText w:val="•"/>
      <w:lvlJc w:val="left"/>
      <w:pPr>
        <w:ind w:left="7939" w:hanging="360"/>
      </w:pPr>
      <w:rPr>
        <w:rFonts w:hint="default"/>
      </w:rPr>
    </w:lvl>
  </w:abstractNum>
  <w:num w:numId="1" w16cid:durableId="1372530393">
    <w:abstractNumId w:val="3"/>
  </w:num>
  <w:num w:numId="2" w16cid:durableId="1739857821">
    <w:abstractNumId w:val="0"/>
  </w:num>
  <w:num w:numId="3" w16cid:durableId="264119428">
    <w:abstractNumId w:val="1"/>
  </w:num>
  <w:num w:numId="4" w16cid:durableId="179485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7A"/>
    <w:rsid w:val="001A6AE8"/>
    <w:rsid w:val="00225FC1"/>
    <w:rsid w:val="003747CC"/>
    <w:rsid w:val="00535549"/>
    <w:rsid w:val="0068307A"/>
    <w:rsid w:val="00A624DF"/>
    <w:rsid w:val="00A679F7"/>
    <w:rsid w:val="00B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17AC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463" w:hanging="360"/>
    </w:pPr>
  </w:style>
  <w:style w:type="paragraph" w:styleId="Header">
    <w:name w:val="header"/>
    <w:basedOn w:val="Normal"/>
    <w:link w:val="HeaderChar"/>
    <w:uiPriority w:val="99"/>
    <w:unhideWhenUsed/>
    <w:rsid w:val="00A6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F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A6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F7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A679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/course/ready-set-test-patient-testing-important-get-right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CSELS-1165620290-1177</_dlc_DocId>
    <_dlc_DocIdUrl xmlns="0724e717-bbe7-4e48-ae6a-faff532bb476">
      <Url>https://cdc.sharepoint.com/sites/CSELS/DLS/Comms/_layouts/15/DocIdRedir.aspx?ID=CSELS-1165620290-1177</Url>
      <Description>CSELS-1165620290-1177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A3B8B-EFF6-4B65-8244-CDFB90EF30C0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7BBEF183-2987-49B2-BE30-15CF99973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08861-FAA9-4D39-91F0-813F9349A5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288D12-62D4-4D7B-AA71-6B1D18EA1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Centers for Disease Control and Prevention</dc:creator>
  <cp:lastModifiedBy>Jeannie Cherie Baughn</cp:lastModifiedBy>
  <cp:revision>5</cp:revision>
  <cp:lastPrinted>2020-07-28T14:45:00Z</cp:lastPrinted>
  <dcterms:created xsi:type="dcterms:W3CDTF">2020-07-28T14:47:00Z</dcterms:created>
  <dcterms:modified xsi:type="dcterms:W3CDTF">2023-02-03T20:35:00Z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34109269-a289-419c-9b66-0764aec80bfb</vt:lpwstr>
  </property>
</Properties>
</file>