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38D2" w14:textId="1E36291F" w:rsidR="00352A82" w:rsidRPr="00CF5329" w:rsidRDefault="00797FBE" w:rsidP="00797FBE">
      <w:pPr>
        <w:spacing w:line="276" w:lineRule="auto"/>
        <w:jc w:val="center"/>
        <w:rPr>
          <w:sz w:val="10"/>
          <w:szCs w:val="10"/>
        </w:rPr>
      </w:pPr>
      <w:r w:rsidRPr="00797FBE">
        <w:rPr>
          <w:b/>
          <w:color w:val="595959" w:themeColor="text1" w:themeTint="A6"/>
          <w:sz w:val="28"/>
          <w:szCs w:val="28"/>
        </w:rPr>
        <w:t>Sample Job Hazard Analysis</w:t>
      </w:r>
    </w:p>
    <w:p w14:paraId="42BD978C" w14:textId="77777777" w:rsidR="00352A82" w:rsidRPr="00CF5329" w:rsidRDefault="00352A82" w:rsidP="00CF5329">
      <w:pPr>
        <w:spacing w:line="276" w:lineRule="auto"/>
      </w:pPr>
      <w:r w:rsidRPr="00CF5329">
        <w:t>Job Hazard Analysis</w:t>
      </w:r>
      <w:r w:rsidR="00E61D60" w:rsidRPr="00CF5329">
        <w:t>: Chemical Use</w:t>
      </w:r>
    </w:p>
    <w:p w14:paraId="7E6BA5BB" w14:textId="77777777" w:rsidR="00352A82" w:rsidRPr="00CF5329" w:rsidRDefault="00352A82" w:rsidP="00CF5329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9"/>
        <w:gridCol w:w="7568"/>
        <w:gridCol w:w="3123"/>
      </w:tblGrid>
      <w:tr w:rsidR="00352A82" w:rsidRPr="00CF5329" w14:paraId="12D04242" w14:textId="77777777" w:rsidTr="00CF5329">
        <w:tc>
          <w:tcPr>
            <w:tcW w:w="1014" w:type="pct"/>
            <w:vAlign w:val="center"/>
          </w:tcPr>
          <w:p w14:paraId="02C1E8E7" w14:textId="77777777" w:rsidR="00352A82" w:rsidRPr="00CF5329" w:rsidRDefault="00095DBC" w:rsidP="00CF5329">
            <w:pPr>
              <w:spacing w:line="276" w:lineRule="auto"/>
              <w:rPr>
                <w:b/>
                <w:sz w:val="32"/>
                <w:szCs w:val="32"/>
              </w:rPr>
            </w:pPr>
            <w:r w:rsidRPr="00CF5329">
              <w:rPr>
                <w:b/>
                <w:sz w:val="32"/>
                <w:szCs w:val="32"/>
              </w:rPr>
              <w:t>Dichloromethane</w:t>
            </w:r>
          </w:p>
          <w:p w14:paraId="6410A408" w14:textId="77777777" w:rsidR="006644C0" w:rsidRPr="00CF5329" w:rsidRDefault="006644C0" w:rsidP="00CF5329">
            <w:pPr>
              <w:spacing w:line="276" w:lineRule="auto"/>
              <w:rPr>
                <w:sz w:val="28"/>
                <w:szCs w:val="28"/>
              </w:rPr>
            </w:pPr>
            <w:r w:rsidRPr="00CF5329">
              <w:rPr>
                <w:sz w:val="28"/>
                <w:szCs w:val="28"/>
              </w:rPr>
              <w:t>(Methylene Chloride)</w:t>
            </w:r>
          </w:p>
          <w:p w14:paraId="6D71B700" w14:textId="77777777" w:rsidR="00EF74BB" w:rsidRPr="00CF5329" w:rsidRDefault="00EF74BB" w:rsidP="00CF5329">
            <w:pPr>
              <w:spacing w:line="276" w:lineRule="auto"/>
              <w:rPr>
                <w:sz w:val="28"/>
                <w:szCs w:val="28"/>
              </w:rPr>
            </w:pPr>
            <w:r w:rsidRPr="00CF5329">
              <w:rPr>
                <w:sz w:val="28"/>
                <w:szCs w:val="28"/>
              </w:rPr>
              <w:t xml:space="preserve">  </w:t>
            </w:r>
            <w:r w:rsidRPr="00CF5329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4F0C3AB4" wp14:editId="125F4EB4">
                  <wp:extent cx="678180" cy="678180"/>
                  <wp:effectExtent l="0" t="0" r="7620" b="762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329">
              <w:rPr>
                <w:sz w:val="28"/>
                <w:szCs w:val="28"/>
              </w:rPr>
              <w:t xml:space="preserve"> </w:t>
            </w:r>
            <w:r w:rsidRPr="00CF5329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401F9089" wp14:editId="6D5B19B8">
                  <wp:extent cx="708660" cy="70866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pct"/>
            <w:vAlign w:val="center"/>
          </w:tcPr>
          <w:p w14:paraId="3E8661A7" w14:textId="77777777" w:rsidR="00352A82" w:rsidRPr="00CF5329" w:rsidRDefault="00352A82" w:rsidP="00CF5329">
            <w:pPr>
              <w:spacing w:line="276" w:lineRule="auto"/>
              <w:rPr>
                <w:b/>
              </w:rPr>
            </w:pPr>
            <w:r w:rsidRPr="00CF5329">
              <w:rPr>
                <w:b/>
              </w:rPr>
              <w:t xml:space="preserve">Personal Protective Equipment Required: </w:t>
            </w:r>
          </w:p>
          <w:p w14:paraId="445D17D0" w14:textId="77777777" w:rsidR="00352A82" w:rsidRPr="00CF5329" w:rsidRDefault="00352A82" w:rsidP="00CF5329">
            <w:pPr>
              <w:spacing w:line="276" w:lineRule="auto"/>
            </w:pPr>
            <w:r w:rsidRPr="00CF5329">
              <w:rPr>
                <w:u w:val="single"/>
              </w:rPr>
              <w:t>Basic:</w:t>
            </w:r>
            <w:r w:rsidR="00CF5329" w:rsidRPr="00CF5329">
              <w:t xml:space="preserve"> </w:t>
            </w:r>
            <w:r w:rsidRPr="00CF5329">
              <w:t>Safety glasses, lab coat/gown, single use gloves (nitrile)</w:t>
            </w:r>
            <w:r w:rsidR="00985F63" w:rsidRPr="00CF5329">
              <w:t xml:space="preserve">, at least 8 mils thick. </w:t>
            </w:r>
            <w:r w:rsidR="00330886" w:rsidRPr="00CF5329">
              <w:rPr>
                <w:sz w:val="22"/>
                <w:szCs w:val="22"/>
              </w:rPr>
              <w:t>(Note: nitrile gloves provide only incidental contact protection.  Better protection fr</w:t>
            </w:r>
            <w:r w:rsidR="00CF5329" w:rsidRPr="00CF5329">
              <w:rPr>
                <w:sz w:val="22"/>
                <w:szCs w:val="22"/>
              </w:rPr>
              <w:t>om fluorinated rubber gloves).</w:t>
            </w:r>
          </w:p>
        </w:tc>
        <w:tc>
          <w:tcPr>
            <w:tcW w:w="1180" w:type="pct"/>
            <w:vAlign w:val="center"/>
          </w:tcPr>
          <w:p w14:paraId="42675FBA" w14:textId="49DDD08D" w:rsidR="00352A82" w:rsidRPr="00CF5329" w:rsidRDefault="00EF74BB" w:rsidP="00CF5329">
            <w:pPr>
              <w:spacing w:line="276" w:lineRule="auto"/>
            </w:pPr>
            <w:r w:rsidRPr="00CF5329">
              <w:t xml:space="preserve">JHA Number: </w:t>
            </w:r>
          </w:p>
        </w:tc>
      </w:tr>
      <w:tr w:rsidR="002426A0" w:rsidRPr="00CF5329" w14:paraId="10B8C3CA" w14:textId="77777777" w:rsidTr="00CF5329">
        <w:trPr>
          <w:trHeight w:val="1043"/>
        </w:trPr>
        <w:tc>
          <w:tcPr>
            <w:tcW w:w="5000" w:type="pct"/>
            <w:gridSpan w:val="3"/>
            <w:vAlign w:val="center"/>
          </w:tcPr>
          <w:p w14:paraId="5A8A8FBA" w14:textId="77777777" w:rsidR="002426A0" w:rsidRPr="00CF5329" w:rsidRDefault="002426A0" w:rsidP="00CF5329">
            <w:pPr>
              <w:spacing w:line="276" w:lineRule="auto"/>
              <w:rPr>
                <w:b/>
              </w:rPr>
            </w:pPr>
            <w:r w:rsidRPr="00CF5329">
              <w:rPr>
                <w:b/>
                <w:color w:val="FF0000"/>
              </w:rPr>
              <w:t xml:space="preserve">Hazards: </w:t>
            </w:r>
            <w:r w:rsidR="00EF74BB" w:rsidRPr="00CF5329">
              <w:rPr>
                <w:b/>
              </w:rPr>
              <w:t xml:space="preserve">Causes skin and serious eye irritation. May cause respiratory irritation and drowsiness or dizziness. </w:t>
            </w:r>
            <w:r w:rsidR="00CF5329" w:rsidRPr="00CF5329">
              <w:rPr>
                <w:b/>
              </w:rPr>
              <w:t xml:space="preserve"> Suspected of causing cancer.</w:t>
            </w:r>
            <w:r w:rsidR="00EF74BB" w:rsidRPr="00CF5329">
              <w:rPr>
                <w:b/>
              </w:rPr>
              <w:t xml:space="preserve"> May cause damage to organs through prolonged or repeated exposure if swallowed or inhaled.</w:t>
            </w:r>
            <w:r w:rsidR="00CF5329" w:rsidRPr="00CF5329">
              <w:rPr>
                <w:b/>
              </w:rPr>
              <w:t xml:space="preserve"> </w:t>
            </w:r>
            <w:r w:rsidR="00DA2908" w:rsidRPr="00CF5329">
              <w:rPr>
                <w:sz w:val="22"/>
                <w:szCs w:val="22"/>
              </w:rPr>
              <w:t>(Review supplier SDS for complete hazard information)</w:t>
            </w:r>
          </w:p>
        </w:tc>
      </w:tr>
    </w:tbl>
    <w:p w14:paraId="1B3BE178" w14:textId="77777777" w:rsidR="00352A82" w:rsidRPr="00CF5329" w:rsidRDefault="00352A82" w:rsidP="00CF5329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7"/>
        <w:gridCol w:w="3016"/>
        <w:gridCol w:w="2261"/>
        <w:gridCol w:w="6786"/>
      </w:tblGrid>
      <w:tr w:rsidR="00E61D60" w:rsidRPr="00CF5329" w14:paraId="19CB3E90" w14:textId="77777777" w:rsidTr="00CF5329">
        <w:trPr>
          <w:trHeight w:val="503"/>
          <w:tblHeader/>
        </w:trPr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63457E33" w14:textId="77777777" w:rsidR="00352A82" w:rsidRPr="00CF5329" w:rsidRDefault="00352A82" w:rsidP="00CF5329">
            <w:pPr>
              <w:spacing w:line="276" w:lineRule="auto"/>
              <w:jc w:val="center"/>
              <w:rPr>
                <w:b/>
              </w:rPr>
            </w:pPr>
            <w:r w:rsidRPr="00CF5329">
              <w:rPr>
                <w:b/>
              </w:rPr>
              <w:t>Volume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C0760E9" w14:textId="77777777" w:rsidR="00352A82" w:rsidRPr="00CF5329" w:rsidRDefault="00352A82" w:rsidP="00CF5329">
            <w:pPr>
              <w:spacing w:line="276" w:lineRule="auto"/>
              <w:jc w:val="center"/>
              <w:rPr>
                <w:b/>
              </w:rPr>
            </w:pPr>
            <w:r w:rsidRPr="00CF5329">
              <w:rPr>
                <w:b/>
              </w:rPr>
              <w:t>Description of Activities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14:paraId="421DCA8C" w14:textId="77777777" w:rsidR="00352A82" w:rsidRPr="00CF5329" w:rsidRDefault="002426A0" w:rsidP="00CF5329">
            <w:pPr>
              <w:spacing w:line="276" w:lineRule="auto"/>
              <w:jc w:val="center"/>
              <w:rPr>
                <w:b/>
              </w:rPr>
            </w:pPr>
            <w:r w:rsidRPr="00CF5329">
              <w:rPr>
                <w:b/>
              </w:rPr>
              <w:t>Exposure Route</w:t>
            </w:r>
          </w:p>
        </w:tc>
        <w:tc>
          <w:tcPr>
            <w:tcW w:w="2482" w:type="pct"/>
            <w:shd w:val="clear" w:color="auto" w:fill="D9D9D9" w:themeFill="background1" w:themeFillShade="D9"/>
            <w:vAlign w:val="center"/>
          </w:tcPr>
          <w:p w14:paraId="0BF03919" w14:textId="77777777" w:rsidR="00352A82" w:rsidRPr="00CF5329" w:rsidRDefault="00352A82" w:rsidP="00CF5329">
            <w:pPr>
              <w:spacing w:line="276" w:lineRule="auto"/>
              <w:jc w:val="center"/>
              <w:rPr>
                <w:b/>
              </w:rPr>
            </w:pPr>
            <w:r w:rsidRPr="00CF5329">
              <w:rPr>
                <w:b/>
              </w:rPr>
              <w:t>Control Measures</w:t>
            </w:r>
          </w:p>
        </w:tc>
      </w:tr>
      <w:tr w:rsidR="00E61D60" w:rsidRPr="00CF5329" w14:paraId="5BFB84A1" w14:textId="77777777" w:rsidTr="00CF5329">
        <w:tc>
          <w:tcPr>
            <w:tcW w:w="588" w:type="pct"/>
            <w:vAlign w:val="center"/>
          </w:tcPr>
          <w:p w14:paraId="252BE2EC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Low to moderate</w:t>
            </w:r>
          </w:p>
        </w:tc>
        <w:tc>
          <w:tcPr>
            <w:tcW w:w="1103" w:type="pct"/>
            <w:vAlign w:val="center"/>
          </w:tcPr>
          <w:p w14:paraId="1FAD2B96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Pipetting/dispensing using low volume pipettes, </w:t>
            </w:r>
            <w:proofErr w:type="spellStart"/>
            <w:r w:rsidRPr="00CF5329">
              <w:rPr>
                <w:sz w:val="22"/>
                <w:szCs w:val="22"/>
              </w:rPr>
              <w:t>Digiflex</w:t>
            </w:r>
            <w:proofErr w:type="spellEnd"/>
            <w:r w:rsidRPr="00CF5329">
              <w:rPr>
                <w:sz w:val="22"/>
                <w:szCs w:val="22"/>
              </w:rPr>
              <w:t>, etc.</w:t>
            </w:r>
          </w:p>
        </w:tc>
        <w:tc>
          <w:tcPr>
            <w:tcW w:w="827" w:type="pct"/>
            <w:vAlign w:val="center"/>
          </w:tcPr>
          <w:p w14:paraId="516DE7A4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Skin or eye contact, inhalation</w:t>
            </w:r>
          </w:p>
        </w:tc>
        <w:tc>
          <w:tcPr>
            <w:tcW w:w="2482" w:type="pct"/>
            <w:vAlign w:val="center"/>
          </w:tcPr>
          <w:p w14:paraId="005C69BB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Pr="00CF5329">
              <w:rPr>
                <w:sz w:val="22"/>
                <w:szCs w:val="22"/>
              </w:rPr>
              <w:t>: Work in chemical fume hood</w:t>
            </w:r>
          </w:p>
          <w:p w14:paraId="7450D4AA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</w:t>
            </w:r>
            <w:r w:rsidRPr="00CF5329">
              <w:rPr>
                <w:sz w:val="22"/>
                <w:szCs w:val="22"/>
              </w:rPr>
              <w:t>: Basic as listed above</w:t>
            </w:r>
            <w:r w:rsidR="00330886" w:rsidRPr="00CF5329">
              <w:rPr>
                <w:sz w:val="22"/>
                <w:szCs w:val="22"/>
              </w:rPr>
              <w:t xml:space="preserve"> </w:t>
            </w:r>
          </w:p>
        </w:tc>
      </w:tr>
      <w:tr w:rsidR="00E61D60" w:rsidRPr="00CF5329" w14:paraId="4A768858" w14:textId="77777777" w:rsidTr="00CF5329">
        <w:tc>
          <w:tcPr>
            <w:tcW w:w="588" w:type="pct"/>
            <w:vAlign w:val="center"/>
          </w:tcPr>
          <w:p w14:paraId="5B1BFAEA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Moderate to high volumes</w:t>
            </w:r>
          </w:p>
        </w:tc>
        <w:tc>
          <w:tcPr>
            <w:tcW w:w="1103" w:type="pct"/>
            <w:vAlign w:val="center"/>
          </w:tcPr>
          <w:p w14:paraId="5B75C876" w14:textId="77777777" w:rsidR="00520E3E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Pouring from original container into graduated cylinder or beaker</w:t>
            </w:r>
          </w:p>
        </w:tc>
        <w:tc>
          <w:tcPr>
            <w:tcW w:w="827" w:type="pct"/>
            <w:vAlign w:val="center"/>
          </w:tcPr>
          <w:p w14:paraId="50982E75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Skin or eye contact, inhalation</w:t>
            </w:r>
          </w:p>
        </w:tc>
        <w:tc>
          <w:tcPr>
            <w:tcW w:w="2482" w:type="pct"/>
            <w:vAlign w:val="center"/>
          </w:tcPr>
          <w:p w14:paraId="793B254D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="00CF5329" w:rsidRPr="00CF5329">
              <w:rPr>
                <w:sz w:val="22"/>
                <w:szCs w:val="22"/>
              </w:rPr>
              <w:t>: W</w:t>
            </w:r>
            <w:r w:rsidRPr="00CF5329">
              <w:rPr>
                <w:sz w:val="22"/>
                <w:szCs w:val="22"/>
              </w:rPr>
              <w:t>ork in chemical fume hood</w:t>
            </w:r>
          </w:p>
          <w:p w14:paraId="6D130344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Administrative</w:t>
            </w:r>
            <w:r w:rsidRPr="00CF5329">
              <w:rPr>
                <w:sz w:val="22"/>
                <w:szCs w:val="22"/>
              </w:rPr>
              <w:t>: Purchase in smaller volume bottles (1 liter vs. 4 liter)</w:t>
            </w:r>
          </w:p>
          <w:p w14:paraId="0D713121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PPE:</w:t>
            </w:r>
            <w:r w:rsidR="00CF5329" w:rsidRPr="00CF5329">
              <w:rPr>
                <w:sz w:val="22"/>
                <w:szCs w:val="22"/>
              </w:rPr>
              <w:t xml:space="preserve"> I</w:t>
            </w:r>
            <w:r w:rsidRPr="00CF5329">
              <w:rPr>
                <w:sz w:val="22"/>
                <w:szCs w:val="22"/>
              </w:rPr>
              <w:t xml:space="preserve">n addition to basic, wear chemical resistant apron and </w:t>
            </w:r>
            <w:r w:rsidR="00330886" w:rsidRPr="00CF5329">
              <w:rPr>
                <w:sz w:val="22"/>
                <w:szCs w:val="22"/>
              </w:rPr>
              <w:t>PVA or Viton (</w:t>
            </w:r>
            <w:proofErr w:type="spellStart"/>
            <w:r w:rsidR="00330886" w:rsidRPr="00CF5329">
              <w:rPr>
                <w:sz w:val="22"/>
                <w:szCs w:val="22"/>
              </w:rPr>
              <w:t>fluoroelastomer</w:t>
            </w:r>
            <w:proofErr w:type="spellEnd"/>
            <w:r w:rsidR="00330886" w:rsidRPr="00CF5329">
              <w:rPr>
                <w:sz w:val="22"/>
                <w:szCs w:val="22"/>
              </w:rPr>
              <w:t>)</w:t>
            </w:r>
            <w:r w:rsidRPr="00CF5329">
              <w:rPr>
                <w:sz w:val="22"/>
                <w:szCs w:val="22"/>
              </w:rPr>
              <w:t xml:space="preserve"> utility weight gloves</w:t>
            </w:r>
          </w:p>
        </w:tc>
      </w:tr>
      <w:tr w:rsidR="00E61D60" w:rsidRPr="00CF5329" w14:paraId="6ECE0002" w14:textId="77777777" w:rsidTr="00CF5329">
        <w:tc>
          <w:tcPr>
            <w:tcW w:w="588" w:type="pct"/>
            <w:vAlign w:val="center"/>
          </w:tcPr>
          <w:p w14:paraId="40596B24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Moderate to high volumes</w:t>
            </w:r>
          </w:p>
        </w:tc>
        <w:tc>
          <w:tcPr>
            <w:tcW w:w="1103" w:type="pct"/>
            <w:vAlign w:val="center"/>
          </w:tcPr>
          <w:p w14:paraId="41700F62" w14:textId="77777777" w:rsidR="00520E3E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Pouring from graduated cylinder, </w:t>
            </w:r>
            <w:proofErr w:type="gramStart"/>
            <w:r w:rsidRPr="00CF5329">
              <w:rPr>
                <w:sz w:val="22"/>
                <w:szCs w:val="22"/>
              </w:rPr>
              <w:t>beaker</w:t>
            </w:r>
            <w:proofErr w:type="gramEnd"/>
            <w:r w:rsidRPr="00CF5329">
              <w:rPr>
                <w:sz w:val="22"/>
                <w:szCs w:val="22"/>
              </w:rPr>
              <w:t xml:space="preserve"> or original container into instrument </w:t>
            </w:r>
            <w:r w:rsidRPr="00CF5329">
              <w:rPr>
                <w:sz w:val="22"/>
                <w:szCs w:val="22"/>
              </w:rPr>
              <w:lastRenderedPageBreak/>
              <w:t>feeder bottles at shoulder height or lower</w:t>
            </w:r>
          </w:p>
        </w:tc>
        <w:tc>
          <w:tcPr>
            <w:tcW w:w="827" w:type="pct"/>
            <w:vAlign w:val="center"/>
          </w:tcPr>
          <w:p w14:paraId="030AEB23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lastRenderedPageBreak/>
              <w:t>Skin or eye contact, inhalation</w:t>
            </w:r>
          </w:p>
        </w:tc>
        <w:tc>
          <w:tcPr>
            <w:tcW w:w="2482" w:type="pct"/>
            <w:vAlign w:val="center"/>
          </w:tcPr>
          <w:p w14:paraId="54EB4A99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="00CF5329" w:rsidRPr="00CF5329">
              <w:rPr>
                <w:sz w:val="22"/>
                <w:szCs w:val="22"/>
              </w:rPr>
              <w:t>: W</w:t>
            </w:r>
            <w:r w:rsidRPr="00CF5329">
              <w:rPr>
                <w:sz w:val="22"/>
                <w:szCs w:val="22"/>
              </w:rPr>
              <w:t xml:space="preserve">ork in chemical fume hood if </w:t>
            </w:r>
            <w:proofErr w:type="gramStart"/>
            <w:r w:rsidRPr="00CF5329">
              <w:rPr>
                <w:sz w:val="22"/>
                <w:szCs w:val="22"/>
              </w:rPr>
              <w:t>possible</w:t>
            </w:r>
            <w:proofErr w:type="gramEnd"/>
            <w:r w:rsidRPr="00CF5329">
              <w:rPr>
                <w:sz w:val="22"/>
                <w:szCs w:val="22"/>
              </w:rPr>
              <w:t xml:space="preserve"> to bring feeder bottles to hood.</w:t>
            </w:r>
          </w:p>
          <w:p w14:paraId="6199A1DB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lastRenderedPageBreak/>
              <w:t>Administrative</w:t>
            </w:r>
            <w:r w:rsidRPr="00CF5329">
              <w:rPr>
                <w:sz w:val="22"/>
                <w:szCs w:val="22"/>
              </w:rPr>
              <w:t>: Verify receiving container is large enough to contain volume prepared.</w:t>
            </w:r>
          </w:p>
          <w:p w14:paraId="5DE329F8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PPE:</w:t>
            </w:r>
            <w:r w:rsidR="00CF5329" w:rsidRPr="00CF5329">
              <w:rPr>
                <w:sz w:val="22"/>
                <w:szCs w:val="22"/>
              </w:rPr>
              <w:t xml:space="preserve"> I</w:t>
            </w:r>
            <w:r w:rsidRPr="00CF5329">
              <w:rPr>
                <w:sz w:val="22"/>
                <w:szCs w:val="22"/>
              </w:rPr>
              <w:t xml:space="preserve">n addition to basic, wear chemical resistant apron </w:t>
            </w:r>
          </w:p>
        </w:tc>
      </w:tr>
      <w:tr w:rsidR="00E61D60" w:rsidRPr="00CF5329" w14:paraId="5B1FFF0C" w14:textId="77777777" w:rsidTr="00CF5329">
        <w:tc>
          <w:tcPr>
            <w:tcW w:w="588" w:type="pct"/>
            <w:vAlign w:val="center"/>
          </w:tcPr>
          <w:p w14:paraId="6FE342A9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lastRenderedPageBreak/>
              <w:t>All volumes</w:t>
            </w:r>
          </w:p>
        </w:tc>
        <w:tc>
          <w:tcPr>
            <w:tcW w:w="1103" w:type="pct"/>
            <w:vAlign w:val="center"/>
          </w:tcPr>
          <w:p w14:paraId="7C8149FF" w14:textId="77777777" w:rsidR="00520E3E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Pouring from graduated cylinder, </w:t>
            </w:r>
            <w:proofErr w:type="gramStart"/>
            <w:r w:rsidRPr="00CF5329">
              <w:rPr>
                <w:sz w:val="22"/>
                <w:szCs w:val="22"/>
              </w:rPr>
              <w:t>beaker</w:t>
            </w:r>
            <w:proofErr w:type="gramEnd"/>
            <w:r w:rsidRPr="00CF5329">
              <w:rPr>
                <w:sz w:val="22"/>
                <w:szCs w:val="22"/>
              </w:rPr>
              <w:t xml:space="preserve"> or original container into instrument feeder bottles above shoulder height</w:t>
            </w:r>
          </w:p>
        </w:tc>
        <w:tc>
          <w:tcPr>
            <w:tcW w:w="827" w:type="pct"/>
            <w:vAlign w:val="center"/>
          </w:tcPr>
          <w:p w14:paraId="0700BE8A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Skin or eye contact, inhalation, splash to face</w:t>
            </w:r>
          </w:p>
        </w:tc>
        <w:tc>
          <w:tcPr>
            <w:tcW w:w="2482" w:type="pct"/>
            <w:vAlign w:val="center"/>
          </w:tcPr>
          <w:p w14:paraId="429A7432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="00CF5329" w:rsidRPr="00CF5329">
              <w:rPr>
                <w:sz w:val="22"/>
                <w:szCs w:val="22"/>
              </w:rPr>
              <w:t>: W</w:t>
            </w:r>
            <w:r w:rsidRPr="00CF5329">
              <w:rPr>
                <w:sz w:val="22"/>
                <w:szCs w:val="22"/>
              </w:rPr>
              <w:t xml:space="preserve">ork in chemical fume hood if </w:t>
            </w:r>
            <w:proofErr w:type="gramStart"/>
            <w:r w:rsidRPr="00CF5329">
              <w:rPr>
                <w:sz w:val="22"/>
                <w:szCs w:val="22"/>
              </w:rPr>
              <w:t>possible</w:t>
            </w:r>
            <w:proofErr w:type="gramEnd"/>
            <w:r w:rsidRPr="00CF5329">
              <w:rPr>
                <w:sz w:val="22"/>
                <w:szCs w:val="22"/>
              </w:rPr>
              <w:t xml:space="preserve"> to bring feeder bottles to hood.</w:t>
            </w:r>
          </w:p>
          <w:p w14:paraId="3A68879E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Administrative</w:t>
            </w:r>
            <w:r w:rsidRPr="00CF5329">
              <w:rPr>
                <w:sz w:val="22"/>
                <w:szCs w:val="22"/>
              </w:rPr>
              <w:t xml:space="preserve">: Verify receiving container is large enough to contain volume prepared.  </w:t>
            </w:r>
          </w:p>
          <w:p w14:paraId="57278FFD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Use rolling step ladder with </w:t>
            </w:r>
            <w:proofErr w:type="gramStart"/>
            <w:r w:rsidRPr="00CF5329">
              <w:rPr>
                <w:sz w:val="22"/>
                <w:szCs w:val="22"/>
              </w:rPr>
              <w:t>hand rails</w:t>
            </w:r>
            <w:proofErr w:type="gramEnd"/>
            <w:r w:rsidRPr="00CF5329">
              <w:rPr>
                <w:sz w:val="22"/>
                <w:szCs w:val="22"/>
              </w:rPr>
              <w:t xml:space="preserve"> to reach receiving container.</w:t>
            </w:r>
          </w:p>
          <w:p w14:paraId="23CBC3B7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PPE:</w:t>
            </w:r>
            <w:r w:rsidR="00CF5329" w:rsidRPr="00CF5329">
              <w:rPr>
                <w:sz w:val="22"/>
                <w:szCs w:val="22"/>
              </w:rPr>
              <w:t xml:space="preserve"> I</w:t>
            </w:r>
            <w:r w:rsidRPr="00CF5329">
              <w:rPr>
                <w:sz w:val="22"/>
                <w:szCs w:val="22"/>
              </w:rPr>
              <w:t>n addition to basic, wear chemical resistant apron, use face shield with safety glasses or chemical splash goggles.</w:t>
            </w:r>
          </w:p>
        </w:tc>
      </w:tr>
      <w:tr w:rsidR="00E61D60" w:rsidRPr="00CF5329" w14:paraId="1CF54DDE" w14:textId="77777777" w:rsidTr="00CF5329">
        <w:tc>
          <w:tcPr>
            <w:tcW w:w="588" w:type="pct"/>
            <w:vAlign w:val="center"/>
          </w:tcPr>
          <w:p w14:paraId="758858B5" w14:textId="77777777" w:rsidR="00352A82" w:rsidRPr="00CF5329" w:rsidRDefault="00352A82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All volumes</w:t>
            </w:r>
          </w:p>
        </w:tc>
        <w:tc>
          <w:tcPr>
            <w:tcW w:w="1103" w:type="pct"/>
            <w:vAlign w:val="center"/>
          </w:tcPr>
          <w:p w14:paraId="0AC0006F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Use of </w:t>
            </w:r>
            <w:proofErr w:type="spellStart"/>
            <w:r w:rsidRPr="00CF5329">
              <w:rPr>
                <w:sz w:val="22"/>
                <w:szCs w:val="22"/>
              </w:rPr>
              <w:t>TurboVap</w:t>
            </w:r>
            <w:proofErr w:type="spellEnd"/>
            <w:r w:rsidRPr="00CF5329">
              <w:rPr>
                <w:sz w:val="22"/>
                <w:szCs w:val="22"/>
              </w:rPr>
              <w:t xml:space="preserve"> or similar equipment to remove solvent from sample tubes</w:t>
            </w:r>
          </w:p>
        </w:tc>
        <w:tc>
          <w:tcPr>
            <w:tcW w:w="827" w:type="pct"/>
            <w:vAlign w:val="center"/>
          </w:tcPr>
          <w:p w14:paraId="02DD4C5D" w14:textId="77777777" w:rsidR="00352A82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Skin or eye contact, inhalation</w:t>
            </w:r>
          </w:p>
        </w:tc>
        <w:tc>
          <w:tcPr>
            <w:tcW w:w="2482" w:type="pct"/>
            <w:vAlign w:val="center"/>
          </w:tcPr>
          <w:p w14:paraId="7EC73B70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Pr="00CF5329">
              <w:rPr>
                <w:sz w:val="22"/>
                <w:szCs w:val="22"/>
              </w:rPr>
              <w:t xml:space="preserve">: Position snorkel exhaust hose above </w:t>
            </w:r>
            <w:proofErr w:type="spellStart"/>
            <w:r w:rsidRPr="00CF5329">
              <w:rPr>
                <w:sz w:val="22"/>
                <w:szCs w:val="22"/>
              </w:rPr>
              <w:t>TurboVap</w:t>
            </w:r>
            <w:proofErr w:type="spellEnd"/>
            <w:r w:rsidRPr="00CF5329">
              <w:rPr>
                <w:sz w:val="22"/>
                <w:szCs w:val="22"/>
              </w:rPr>
              <w:t xml:space="preserve"> before opening lid at the end of the run.</w:t>
            </w:r>
          </w:p>
          <w:p w14:paraId="3C40259C" w14:textId="77777777" w:rsidR="00352A82" w:rsidRPr="00CF5329" w:rsidRDefault="001F39C1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Administrative</w:t>
            </w:r>
            <w:r w:rsidRPr="00CF5329">
              <w:rPr>
                <w:sz w:val="22"/>
                <w:szCs w:val="22"/>
              </w:rPr>
              <w:t>: Wait a few minutes after opening lid before removing tubes (allows snorkel to pull vapors away)</w:t>
            </w:r>
          </w:p>
          <w:p w14:paraId="03EFAE10" w14:textId="77777777" w:rsidR="001F39C1" w:rsidRPr="00CF5329" w:rsidRDefault="001F39C1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PPE:</w:t>
            </w:r>
            <w:r w:rsidRPr="00CF5329">
              <w:rPr>
                <w:sz w:val="22"/>
                <w:szCs w:val="22"/>
              </w:rPr>
              <w:t xml:space="preserve"> Basic as listed above</w:t>
            </w:r>
          </w:p>
        </w:tc>
      </w:tr>
      <w:tr w:rsidR="00520E3E" w:rsidRPr="00CF5329" w14:paraId="5A608ECE" w14:textId="77777777" w:rsidTr="00CF5329">
        <w:tc>
          <w:tcPr>
            <w:tcW w:w="588" w:type="pct"/>
            <w:vAlign w:val="center"/>
          </w:tcPr>
          <w:p w14:paraId="09B8FE04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All volumes</w:t>
            </w:r>
          </w:p>
        </w:tc>
        <w:tc>
          <w:tcPr>
            <w:tcW w:w="1103" w:type="pct"/>
            <w:vAlign w:val="center"/>
          </w:tcPr>
          <w:p w14:paraId="18F5940E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Rinsing glassware of </w:t>
            </w:r>
            <w:proofErr w:type="gramStart"/>
            <w:r w:rsidRPr="00CF5329">
              <w:rPr>
                <w:sz w:val="22"/>
                <w:szCs w:val="22"/>
              </w:rPr>
              <w:t>other</w:t>
            </w:r>
            <w:proofErr w:type="gramEnd"/>
            <w:r w:rsidRPr="00CF5329">
              <w:rPr>
                <w:sz w:val="22"/>
                <w:szCs w:val="22"/>
              </w:rPr>
              <w:t xml:space="preserve"> lab ware with this chemical</w:t>
            </w:r>
          </w:p>
        </w:tc>
        <w:tc>
          <w:tcPr>
            <w:tcW w:w="827" w:type="pct"/>
            <w:vAlign w:val="center"/>
          </w:tcPr>
          <w:p w14:paraId="203DA432" w14:textId="77777777" w:rsidR="00520E3E" w:rsidRPr="00CF5329" w:rsidRDefault="00520E3E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Skin or eye contact, inhalation</w:t>
            </w:r>
          </w:p>
        </w:tc>
        <w:tc>
          <w:tcPr>
            <w:tcW w:w="2482" w:type="pct"/>
            <w:vAlign w:val="center"/>
          </w:tcPr>
          <w:p w14:paraId="77D0D419" w14:textId="77777777" w:rsidR="001F39C1" w:rsidRPr="00CF5329" w:rsidRDefault="001F39C1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Engineering</w:t>
            </w:r>
            <w:r w:rsidRPr="00CF5329">
              <w:rPr>
                <w:sz w:val="22"/>
                <w:szCs w:val="22"/>
              </w:rPr>
              <w:t xml:space="preserve">: </w:t>
            </w:r>
            <w:r w:rsidR="00CF5329" w:rsidRPr="00CF5329">
              <w:rPr>
                <w:sz w:val="22"/>
                <w:szCs w:val="22"/>
              </w:rPr>
              <w:t>W</w:t>
            </w:r>
            <w:r w:rsidRPr="00CF5329">
              <w:rPr>
                <w:sz w:val="22"/>
                <w:szCs w:val="22"/>
              </w:rPr>
              <w:t>ork in chemical fume hood</w:t>
            </w:r>
          </w:p>
          <w:p w14:paraId="2165BD4B" w14:textId="77777777" w:rsidR="001F39C1" w:rsidRPr="00CF5329" w:rsidRDefault="001F39C1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Administrative</w:t>
            </w:r>
            <w:r w:rsidRPr="00CF5329">
              <w:rPr>
                <w:sz w:val="22"/>
                <w:szCs w:val="22"/>
              </w:rPr>
              <w:t xml:space="preserve">: </w:t>
            </w:r>
            <w:r w:rsidR="00CF5329" w:rsidRPr="00CF5329">
              <w:rPr>
                <w:sz w:val="22"/>
                <w:szCs w:val="22"/>
              </w:rPr>
              <w:t>I</w:t>
            </w:r>
            <w:r w:rsidRPr="00CF5329">
              <w:rPr>
                <w:sz w:val="22"/>
                <w:szCs w:val="22"/>
              </w:rPr>
              <w:t>f possible, secure glassware/</w:t>
            </w:r>
            <w:r w:rsidR="00E61D60" w:rsidRPr="00CF5329">
              <w:rPr>
                <w:sz w:val="22"/>
                <w:szCs w:val="22"/>
              </w:rPr>
              <w:t>l</w:t>
            </w:r>
            <w:r w:rsidRPr="00CF5329">
              <w:rPr>
                <w:sz w:val="22"/>
                <w:szCs w:val="22"/>
              </w:rPr>
              <w:t>abware in clamp so it doesn’t have to be hand-held during rinsing</w:t>
            </w:r>
          </w:p>
          <w:p w14:paraId="571BA39C" w14:textId="77777777" w:rsidR="00520E3E" w:rsidRPr="00CF5329" w:rsidRDefault="001F39C1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PPE:</w:t>
            </w:r>
            <w:r w:rsidR="00CF5329" w:rsidRPr="00CF5329">
              <w:rPr>
                <w:sz w:val="22"/>
                <w:szCs w:val="22"/>
              </w:rPr>
              <w:t xml:space="preserve"> I</w:t>
            </w:r>
            <w:r w:rsidRPr="00CF5329">
              <w:rPr>
                <w:sz w:val="22"/>
                <w:szCs w:val="22"/>
              </w:rPr>
              <w:t xml:space="preserve">n addition to basic, wear chemical resistant apron and </w:t>
            </w:r>
            <w:r w:rsidR="00330886" w:rsidRPr="00CF5329">
              <w:rPr>
                <w:sz w:val="22"/>
                <w:szCs w:val="22"/>
              </w:rPr>
              <w:t>PVA or Viton (</w:t>
            </w:r>
            <w:proofErr w:type="spellStart"/>
            <w:r w:rsidR="00330886" w:rsidRPr="00CF5329">
              <w:rPr>
                <w:sz w:val="22"/>
                <w:szCs w:val="22"/>
              </w:rPr>
              <w:t>fluoroelastomer</w:t>
            </w:r>
            <w:proofErr w:type="spellEnd"/>
            <w:r w:rsidR="00330886" w:rsidRPr="00CF5329">
              <w:rPr>
                <w:sz w:val="22"/>
                <w:szCs w:val="22"/>
              </w:rPr>
              <w:t>) utility weight gloves</w:t>
            </w:r>
          </w:p>
        </w:tc>
      </w:tr>
    </w:tbl>
    <w:p w14:paraId="45536DB2" w14:textId="77777777" w:rsidR="00352A82" w:rsidRPr="00CF5329" w:rsidRDefault="00352A82" w:rsidP="00CF5329">
      <w:pPr>
        <w:spacing w:line="276" w:lineRule="auto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9"/>
        <w:gridCol w:w="2116"/>
        <w:gridCol w:w="7745"/>
      </w:tblGrid>
      <w:tr w:rsidR="00077086" w:rsidRPr="00CF5329" w14:paraId="35390A6F" w14:textId="77777777" w:rsidTr="00CF5329">
        <w:trPr>
          <w:trHeight w:val="541"/>
        </w:trPr>
        <w:tc>
          <w:tcPr>
            <w:tcW w:w="1393" w:type="pct"/>
            <w:vAlign w:val="center"/>
          </w:tcPr>
          <w:p w14:paraId="2CA41EFB" w14:textId="664CC4B0" w:rsidR="00077086" w:rsidRPr="00CF5329" w:rsidRDefault="00CF5329" w:rsidP="00CF532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Developed by: </w:t>
            </w:r>
          </w:p>
        </w:tc>
        <w:tc>
          <w:tcPr>
            <w:tcW w:w="774" w:type="pct"/>
            <w:vAlign w:val="center"/>
          </w:tcPr>
          <w:p w14:paraId="2F454A71" w14:textId="0AB4051A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Date:  </w:t>
            </w:r>
          </w:p>
        </w:tc>
        <w:tc>
          <w:tcPr>
            <w:tcW w:w="2833" w:type="pct"/>
            <w:vMerge w:val="restart"/>
            <w:vAlign w:val="center"/>
          </w:tcPr>
          <w:p w14:paraId="1045A0ED" w14:textId="77777777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  <w:u w:val="single"/>
              </w:rPr>
              <w:t>Comments</w:t>
            </w:r>
            <w:r w:rsidRPr="00CF5329">
              <w:rPr>
                <w:sz w:val="22"/>
                <w:szCs w:val="22"/>
              </w:rPr>
              <w:t>:</w:t>
            </w:r>
          </w:p>
          <w:p w14:paraId="5A3B6FB3" w14:textId="2EA385C0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 xml:space="preserve">Notify </w:t>
            </w:r>
            <w:r w:rsidR="00AD7510">
              <w:rPr>
                <w:sz w:val="22"/>
                <w:szCs w:val="22"/>
              </w:rPr>
              <w:t>the supervisor or safety staff if procedures to be used with this chemical are not listed above.</w:t>
            </w:r>
          </w:p>
        </w:tc>
      </w:tr>
      <w:tr w:rsidR="00077086" w:rsidRPr="00CF5329" w14:paraId="642623F7" w14:textId="77777777" w:rsidTr="00CF5329">
        <w:trPr>
          <w:trHeight w:val="541"/>
        </w:trPr>
        <w:tc>
          <w:tcPr>
            <w:tcW w:w="1393" w:type="pct"/>
            <w:vAlign w:val="center"/>
          </w:tcPr>
          <w:p w14:paraId="68520715" w14:textId="7BAB8B11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Revised:</w:t>
            </w:r>
            <w:r w:rsidR="00EF74BB" w:rsidRPr="00CF53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14:paraId="2DE6AAC3" w14:textId="373459E3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  <w:r w:rsidRPr="00CF5329">
              <w:rPr>
                <w:sz w:val="22"/>
                <w:szCs w:val="22"/>
              </w:rPr>
              <w:t>Date:</w:t>
            </w:r>
            <w:r w:rsidR="00EF74BB" w:rsidRPr="00CF53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3" w:type="pct"/>
            <w:vMerge/>
            <w:vAlign w:val="center"/>
          </w:tcPr>
          <w:p w14:paraId="0531D788" w14:textId="77777777" w:rsidR="00077086" w:rsidRPr="00CF5329" w:rsidRDefault="00077086" w:rsidP="00CF532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69B9433" w14:textId="10E89F39" w:rsidR="00807A71" w:rsidRPr="00036B13" w:rsidRDefault="00807A71" w:rsidP="00751EEE">
      <w:pPr>
        <w:tabs>
          <w:tab w:val="left" w:pos="3497"/>
        </w:tabs>
        <w:spacing w:line="276" w:lineRule="auto"/>
        <w:rPr>
          <w:sz w:val="2"/>
          <w:szCs w:val="2"/>
        </w:rPr>
      </w:pPr>
    </w:p>
    <w:sectPr w:rsidR="00807A71" w:rsidRPr="00036B13" w:rsidSect="00036B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9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DC5D" w14:textId="77777777" w:rsidR="00B02DEA" w:rsidRDefault="00B02DEA" w:rsidP="00E61D60">
      <w:r>
        <w:separator/>
      </w:r>
    </w:p>
  </w:endnote>
  <w:endnote w:type="continuationSeparator" w:id="0">
    <w:p w14:paraId="68F118B1" w14:textId="77777777" w:rsidR="00B02DEA" w:rsidRDefault="00B02DEA" w:rsidP="00E6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810E" w14:textId="77777777" w:rsidR="00483494" w:rsidRDefault="0048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8656" w14:textId="5FB9F5A3" w:rsidR="00036B13" w:rsidRPr="00B871C6" w:rsidRDefault="00036B13">
    <w:pPr>
      <w:pStyle w:val="Footer"/>
      <w:rPr>
        <w:rFonts w:asciiTheme="minorHAnsi" w:hAnsiTheme="minorHAnsi" w:cstheme="minorHAnsi"/>
        <w:sz w:val="22"/>
        <w:szCs w:val="22"/>
      </w:rPr>
    </w:pPr>
    <w:r w:rsidRPr="00B871C6">
      <w:rPr>
        <w:rFonts w:asciiTheme="minorHAnsi" w:hAnsiTheme="minorHAnsi" w:cstheme="minorHAnsi"/>
        <w:sz w:val="22"/>
        <w:szCs w:val="22"/>
      </w:rPr>
      <w:t xml:space="preserve">This job aid is a component of the free, on-demand CDC training course “Fundamentals of Methylene Chloride Safety.” Find the course at </w:t>
    </w:r>
    <w:hyperlink r:id="rId1" w:history="1">
      <w:r w:rsidRPr="00B871C6">
        <w:rPr>
          <w:rStyle w:val="Hyperlink"/>
          <w:rFonts w:asciiTheme="minorHAnsi" w:hAnsiTheme="minorHAnsi" w:cstheme="minorHAnsi"/>
          <w:sz w:val="22"/>
          <w:szCs w:val="22"/>
        </w:rPr>
        <w:t>https://reach.cdc.gov/training</w:t>
      </w:r>
    </w:hyperlink>
  </w:p>
  <w:p w14:paraId="3C78D327" w14:textId="7C115A09" w:rsidR="00036B13" w:rsidRPr="00B871C6" w:rsidRDefault="00036B13">
    <w:pPr>
      <w:pStyle w:val="Footer"/>
      <w:rPr>
        <w:rFonts w:asciiTheme="minorHAnsi" w:hAnsiTheme="minorHAnsi" w:cstheme="minorHAnsi"/>
        <w:sz w:val="22"/>
        <w:szCs w:val="22"/>
      </w:rPr>
    </w:pPr>
    <w:r w:rsidRPr="00B871C6">
      <w:rPr>
        <w:rFonts w:asciiTheme="minorHAnsi" w:hAnsiTheme="minorHAnsi" w:cstheme="minorHAnsi"/>
        <w:sz w:val="22"/>
        <w:szCs w:val="22"/>
      </w:rPr>
      <w:t xml:space="preserve"> </w:t>
    </w:r>
  </w:p>
  <w:p w14:paraId="4FC996C5" w14:textId="3679C4AC" w:rsidR="00751EEE" w:rsidRPr="00B871C6" w:rsidRDefault="00036B13">
    <w:pPr>
      <w:pStyle w:val="Footer"/>
      <w:rPr>
        <w:rFonts w:asciiTheme="minorHAnsi" w:hAnsiTheme="minorHAnsi" w:cstheme="minorHAnsi"/>
        <w:sz w:val="22"/>
        <w:szCs w:val="22"/>
      </w:rPr>
    </w:pPr>
    <w:r w:rsidRPr="00B871C6">
      <w:rPr>
        <w:rFonts w:asciiTheme="minorHAnsi" w:hAnsiTheme="minorHAnsi" w:cstheme="minorHAnsi"/>
        <w:sz w:val="22"/>
        <w:szCs w:val="22"/>
      </w:rPr>
      <w:t>v23</w:t>
    </w:r>
    <w:r w:rsidR="00E72AED">
      <w:rPr>
        <w:rFonts w:asciiTheme="minorHAnsi" w:hAnsiTheme="minorHAnsi" w:cstheme="minorHAnsi"/>
        <w:sz w:val="22"/>
        <w:szCs w:val="22"/>
      </w:rPr>
      <w:t>20</w:t>
    </w:r>
    <w:r w:rsidR="00AD7510">
      <w:rPr>
        <w:rFonts w:asciiTheme="minorHAnsi" w:hAnsiTheme="minorHAnsi" w:cstheme="minorHAnsi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7C1" w14:textId="77777777" w:rsidR="00483494" w:rsidRDefault="0048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01CA" w14:textId="77777777" w:rsidR="00B02DEA" w:rsidRDefault="00B02DEA" w:rsidP="00E61D60">
      <w:r>
        <w:separator/>
      </w:r>
    </w:p>
  </w:footnote>
  <w:footnote w:type="continuationSeparator" w:id="0">
    <w:p w14:paraId="4EA59E2E" w14:textId="77777777" w:rsidR="00B02DEA" w:rsidRDefault="00B02DEA" w:rsidP="00E6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5C68" w14:textId="77777777" w:rsidR="00483494" w:rsidRDefault="0048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162659"/>
      <w:docPartObj>
        <w:docPartGallery w:val="Page Numbers (Top of Page)"/>
        <w:docPartUnique/>
      </w:docPartObj>
    </w:sdtPr>
    <w:sdtContent>
      <w:p w14:paraId="196453CA" w14:textId="77777777" w:rsidR="008C6797" w:rsidRPr="00EA3D77" w:rsidRDefault="008C6797" w:rsidP="008C6797">
        <w:pPr>
          <w:pStyle w:val="Header"/>
          <w:rPr>
            <w:sz w:val="28"/>
            <w:szCs w:val="28"/>
          </w:rPr>
        </w:pPr>
        <w:r>
          <w:rPr>
            <w:sz w:val="28"/>
            <w:szCs w:val="28"/>
          </w:rPr>
          <w:t>[</w:t>
        </w:r>
        <w:r w:rsidRPr="006C213E">
          <w:rPr>
            <w:sz w:val="28"/>
            <w:szCs w:val="28"/>
          </w:rPr>
          <w:t>Insert your agency information here</w:t>
        </w:r>
        <w:r>
          <w:rPr>
            <w:sz w:val="28"/>
            <w:szCs w:val="28"/>
          </w:rPr>
          <w:t>]</w:t>
        </w:r>
      </w:p>
      <w:p w14:paraId="67AFD169" w14:textId="38EF2DCC" w:rsidR="00797FBE" w:rsidRPr="00EA3D77" w:rsidRDefault="00000000" w:rsidP="00797FBE">
        <w:pPr>
          <w:pStyle w:val="Header"/>
          <w:rPr>
            <w:sz w:val="28"/>
            <w:szCs w:val="28"/>
          </w:rPr>
        </w:pPr>
      </w:p>
    </w:sdtContent>
  </w:sdt>
  <w:p w14:paraId="370283EA" w14:textId="5F01A885" w:rsidR="00E61D60" w:rsidRDefault="00E61D60" w:rsidP="00E61D6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67AE" w14:textId="77777777" w:rsidR="008C6797" w:rsidRPr="00EA3D77" w:rsidRDefault="008C6797" w:rsidP="008C6797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02DEC68A" w14:textId="2F241BDA" w:rsidR="00E87F6E" w:rsidRDefault="00E87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23E8"/>
    <w:multiLevelType w:val="multilevel"/>
    <w:tmpl w:val="094CF3EA"/>
    <w:lvl w:ilvl="0">
      <w:start w:val="1"/>
      <w:numFmt w:val="decimal"/>
      <w:pStyle w:val="Heading1"/>
      <w:lvlText w:val="%1.0"/>
      <w:lvlJc w:val="left"/>
      <w:pPr>
        <w:tabs>
          <w:tab w:val="num" w:pos="672"/>
        </w:tabs>
        <w:ind w:left="67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32825780">
    <w:abstractNumId w:val="0"/>
  </w:num>
  <w:num w:numId="2" w16cid:durableId="1023897580">
    <w:abstractNumId w:val="0"/>
  </w:num>
  <w:num w:numId="3" w16cid:durableId="160777468">
    <w:abstractNumId w:val="0"/>
  </w:num>
  <w:num w:numId="4" w16cid:durableId="2090881905">
    <w:abstractNumId w:val="0"/>
  </w:num>
  <w:num w:numId="5" w16cid:durableId="2080445561">
    <w:abstractNumId w:val="0"/>
  </w:num>
  <w:num w:numId="6" w16cid:durableId="615061298">
    <w:abstractNumId w:val="0"/>
  </w:num>
  <w:num w:numId="7" w16cid:durableId="1515877090">
    <w:abstractNumId w:val="0"/>
  </w:num>
  <w:num w:numId="8" w16cid:durableId="370813569">
    <w:abstractNumId w:val="0"/>
  </w:num>
  <w:num w:numId="9" w16cid:durableId="181325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82"/>
    <w:rsid w:val="00010D9C"/>
    <w:rsid w:val="00036B13"/>
    <w:rsid w:val="00077086"/>
    <w:rsid w:val="00095DBC"/>
    <w:rsid w:val="000B59A7"/>
    <w:rsid w:val="00180C88"/>
    <w:rsid w:val="001941A8"/>
    <w:rsid w:val="001B2B1A"/>
    <w:rsid w:val="001D5D49"/>
    <w:rsid w:val="001F39C1"/>
    <w:rsid w:val="00241FE2"/>
    <w:rsid w:val="002426A0"/>
    <w:rsid w:val="00251CA4"/>
    <w:rsid w:val="00330886"/>
    <w:rsid w:val="00352A82"/>
    <w:rsid w:val="00483494"/>
    <w:rsid w:val="00504C66"/>
    <w:rsid w:val="00520E3E"/>
    <w:rsid w:val="005A5061"/>
    <w:rsid w:val="005E23E9"/>
    <w:rsid w:val="006644C0"/>
    <w:rsid w:val="00751EEE"/>
    <w:rsid w:val="007654D2"/>
    <w:rsid w:val="00772C56"/>
    <w:rsid w:val="00787C15"/>
    <w:rsid w:val="00797FBE"/>
    <w:rsid w:val="00807A71"/>
    <w:rsid w:val="00883252"/>
    <w:rsid w:val="008C6797"/>
    <w:rsid w:val="009229CB"/>
    <w:rsid w:val="00985F63"/>
    <w:rsid w:val="00AD7510"/>
    <w:rsid w:val="00B02DEA"/>
    <w:rsid w:val="00B871C6"/>
    <w:rsid w:val="00BF241D"/>
    <w:rsid w:val="00C25A56"/>
    <w:rsid w:val="00C305BE"/>
    <w:rsid w:val="00CF5329"/>
    <w:rsid w:val="00D20438"/>
    <w:rsid w:val="00D85499"/>
    <w:rsid w:val="00DA2908"/>
    <w:rsid w:val="00DA3F78"/>
    <w:rsid w:val="00E61D60"/>
    <w:rsid w:val="00E72AED"/>
    <w:rsid w:val="00E87F6E"/>
    <w:rsid w:val="00EA398E"/>
    <w:rsid w:val="00EE6C74"/>
    <w:rsid w:val="00EF74BB"/>
    <w:rsid w:val="00F3107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E10C2"/>
  <w15:docId w15:val="{5F21969B-908D-4CAA-AC62-EF15BFC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30"/>
  </w:style>
  <w:style w:type="paragraph" w:styleId="Heading1">
    <w:name w:val="heading 1"/>
    <w:basedOn w:val="Normal"/>
    <w:next w:val="Normal"/>
    <w:link w:val="Heading1Char"/>
    <w:qFormat/>
    <w:rsid w:val="00FF5830"/>
    <w:pPr>
      <w:keepNext/>
      <w:numPr>
        <w:numId w:val="9"/>
      </w:numPr>
      <w:outlineLvl w:val="0"/>
    </w:pPr>
    <w:rPr>
      <w:rFonts w:ascii="Arial" w:hAnsi="Arial"/>
      <w:bCs/>
      <w:caps/>
      <w:sz w:val="28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F5830"/>
    <w:pPr>
      <w:keepNext/>
      <w:numPr>
        <w:ilvl w:val="1"/>
        <w:numId w:val="9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F5830"/>
    <w:pPr>
      <w:keepNext/>
      <w:numPr>
        <w:ilvl w:val="2"/>
        <w:numId w:val="9"/>
      </w:numPr>
      <w:outlineLvl w:val="2"/>
    </w:pPr>
    <w:rPr>
      <w:rFonts w:ascii="Helvetica" w:hAnsi="Helvetica"/>
      <w:bCs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F5830"/>
    <w:pPr>
      <w:keepNext/>
      <w:numPr>
        <w:ilvl w:val="3"/>
        <w:numId w:val="9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F5830"/>
    <w:pPr>
      <w:keepNext/>
      <w:numPr>
        <w:ilvl w:val="4"/>
        <w:numId w:val="9"/>
      </w:numPr>
      <w:spacing w:before="120" w:after="120"/>
      <w:outlineLvl w:val="4"/>
    </w:pPr>
    <w:rPr>
      <w:rFonts w:ascii="Arial" w:hAnsi="Arial"/>
      <w:bCs/>
    </w:rPr>
  </w:style>
  <w:style w:type="paragraph" w:styleId="Heading6">
    <w:name w:val="heading 6"/>
    <w:basedOn w:val="Normal"/>
    <w:next w:val="Normal"/>
    <w:link w:val="Heading6Char"/>
    <w:qFormat/>
    <w:rsid w:val="00FF5830"/>
    <w:pPr>
      <w:keepNext/>
      <w:numPr>
        <w:ilvl w:val="5"/>
        <w:numId w:val="9"/>
      </w:numPr>
      <w:spacing w:before="120" w:after="120"/>
      <w:outlineLvl w:val="5"/>
    </w:pPr>
    <w:rPr>
      <w:rFonts w:ascii="Times" w:hAnsi="Times"/>
      <w:b/>
      <w:bCs/>
      <w:iCs/>
    </w:rPr>
  </w:style>
  <w:style w:type="paragraph" w:styleId="Heading7">
    <w:name w:val="heading 7"/>
    <w:basedOn w:val="Normal"/>
    <w:next w:val="Normal"/>
    <w:link w:val="Heading7Char"/>
    <w:qFormat/>
    <w:rsid w:val="00FF583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F583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F5830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5830"/>
    <w:rPr>
      <w:rFonts w:ascii="Arial" w:hAnsi="Arial"/>
      <w:bCs/>
      <w:caps/>
      <w:sz w:val="28"/>
      <w:szCs w:val="24"/>
    </w:rPr>
  </w:style>
  <w:style w:type="character" w:customStyle="1" w:styleId="Heading2Char">
    <w:name w:val="Heading 2 Char"/>
    <w:aliases w:val="Chapter Title Char"/>
    <w:link w:val="Heading2"/>
    <w:rsid w:val="00FF5830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FF5830"/>
    <w:rPr>
      <w:rFonts w:ascii="Helvetica" w:hAnsi="Helvetica"/>
      <w:bCs/>
      <w:sz w:val="24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F583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5830"/>
    <w:rPr>
      <w:rFonts w:ascii="Arial" w:hAnsi="Arial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5830"/>
    <w:rPr>
      <w:rFonts w:ascii="Times" w:hAnsi="Times"/>
      <w:b/>
      <w:bCs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F58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58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F5830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FF5830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5830"/>
    <w:pPr>
      <w:ind w:left="720"/>
    </w:pPr>
  </w:style>
  <w:style w:type="table" w:styleId="TableGrid">
    <w:name w:val="Table Grid"/>
    <w:basedOn w:val="TableNormal"/>
    <w:uiPriority w:val="59"/>
    <w:rsid w:val="0035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60"/>
  </w:style>
  <w:style w:type="paragraph" w:styleId="Footer">
    <w:name w:val="footer"/>
    <w:basedOn w:val="Normal"/>
    <w:link w:val="FooterChar"/>
    <w:uiPriority w:val="99"/>
    <w:unhideWhenUsed/>
    <w:rsid w:val="00E61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60"/>
  </w:style>
  <w:style w:type="paragraph" w:styleId="BalloonText">
    <w:name w:val="Balloon Text"/>
    <w:basedOn w:val="Normal"/>
    <w:link w:val="BalloonTextChar"/>
    <w:uiPriority w:val="99"/>
    <w:semiHidden/>
    <w:unhideWhenUsed/>
    <w:rsid w:val="009229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C020-EC15-4CF7-9B59-71FC568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Waters, Sean (CDC/DDPHSS/CSELS/DLS)</cp:lastModifiedBy>
  <cp:revision>6</cp:revision>
  <cp:lastPrinted>2015-04-07T14:16:00Z</cp:lastPrinted>
  <dcterms:created xsi:type="dcterms:W3CDTF">2023-06-19T21:34:00Z</dcterms:created>
  <dcterms:modified xsi:type="dcterms:W3CDTF">2023-07-21T14:35:00Z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2022-09-23T20:48:03Z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9756e6a2-325e-4bf5-8995-598adff05e40</vt:lpwstr>
  </property>
  <property fmtid="{D5CDD505-2E9C-101B-9397-08002B2CF9AE}" pid="8" name="MSIP_Label_7b94a7b8-f06c-4dfe-bdcc-9b548fd58c31_ContentBits">
    <vt:lpwstr>0</vt:lpwstr>
  </property>
  <property fmtid="{D5CDD505-2E9C-101B-9397-08002B2CF9AE}" pid="9" name="GrammarlyDocumentId">
    <vt:lpwstr>b6d9c13444d027567f6ba14d81483d2573bf2cc96584ae306fc6e15fc9e6e1b6</vt:lpwstr>
  </property>
</Properties>
</file>