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F047" w14:textId="77777777" w:rsidR="006670AB" w:rsidRDefault="00D03257">
      <w:pPr>
        <w:spacing w:before="161"/>
        <w:ind w:left="2025"/>
        <w:rPr>
          <w:b/>
          <w:sz w:val="28"/>
        </w:rPr>
      </w:pPr>
      <w:r>
        <w:rPr>
          <w:b/>
          <w:sz w:val="28"/>
        </w:rPr>
        <w:t>Continuity of Operations Alternate Facility Worksheet</w:t>
      </w:r>
    </w:p>
    <w:p w14:paraId="30B5B5F3" w14:textId="2D3F5111" w:rsidR="006670AB" w:rsidRDefault="009235FF" w:rsidP="697C1F1C">
      <w:pPr>
        <w:pStyle w:val="BodyText"/>
        <w:spacing w:before="238"/>
        <w:ind w:left="119" w:right="206"/>
        <w:jc w:val="both"/>
      </w:pPr>
      <w:r>
        <w:t>Ind</w:t>
      </w:r>
      <w:r w:rsidR="00D03257">
        <w:t>icate all facilities in which your organization operates, and designate those facilities needed in an emergency or disaster situation.</w:t>
      </w:r>
    </w:p>
    <w:p w14:paraId="46120351" w14:textId="23E624B7" w:rsidR="006670AB" w:rsidRDefault="006670AB">
      <w:pPr>
        <w:pStyle w:val="BodyText"/>
      </w:pPr>
    </w:p>
    <w:tbl>
      <w:tblPr>
        <w:tblpPr w:leftFromText="180" w:rightFromText="180" w:vertAnchor="text" w:tblpX="12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2206"/>
        <w:gridCol w:w="1934"/>
        <w:gridCol w:w="1932"/>
        <w:gridCol w:w="1932"/>
      </w:tblGrid>
      <w:tr w:rsidR="006670AB" w14:paraId="7EBC1964" w14:textId="77777777" w:rsidTr="697C1F1C">
        <w:trPr>
          <w:trHeight w:hRule="exact" w:val="838"/>
        </w:trPr>
        <w:tc>
          <w:tcPr>
            <w:tcW w:w="2066" w:type="dxa"/>
            <w:shd w:val="clear" w:color="auto" w:fill="003366"/>
          </w:tcPr>
          <w:p w14:paraId="3C1624AD" w14:textId="77777777" w:rsidR="006670AB" w:rsidRDefault="006670AB" w:rsidP="004F67AF">
            <w:pPr>
              <w:pStyle w:val="TableParagraph"/>
            </w:pPr>
          </w:p>
          <w:p w14:paraId="3889CA0E" w14:textId="77777777" w:rsidR="006670AB" w:rsidRDefault="00D03257" w:rsidP="004F67AF">
            <w:pPr>
              <w:pStyle w:val="TableParagraph"/>
              <w:spacing w:before="0"/>
              <w:ind w:left="458"/>
              <w:rPr>
                <w:b/>
              </w:rPr>
            </w:pPr>
            <w:r>
              <w:rPr>
                <w:b/>
                <w:color w:val="FFFFFF"/>
              </w:rPr>
              <w:t>Facility Type</w:t>
            </w:r>
          </w:p>
        </w:tc>
        <w:tc>
          <w:tcPr>
            <w:tcW w:w="2206" w:type="dxa"/>
            <w:shd w:val="clear" w:color="auto" w:fill="003366"/>
          </w:tcPr>
          <w:p w14:paraId="19194053" w14:textId="77777777" w:rsidR="006670AB" w:rsidRDefault="006670AB" w:rsidP="004F67AF">
            <w:pPr>
              <w:pStyle w:val="TableParagraph"/>
            </w:pPr>
          </w:p>
          <w:p w14:paraId="78C55D55" w14:textId="77777777" w:rsidR="006670AB" w:rsidRDefault="00D03257" w:rsidP="004F67AF">
            <w:pPr>
              <w:pStyle w:val="TableParagraph"/>
              <w:spacing w:before="0"/>
              <w:ind w:left="335"/>
              <w:rPr>
                <w:b/>
              </w:rPr>
            </w:pPr>
            <w:r>
              <w:rPr>
                <w:b/>
                <w:color w:val="FFFFFF"/>
              </w:rPr>
              <w:t>Physical Address</w:t>
            </w:r>
          </w:p>
        </w:tc>
        <w:tc>
          <w:tcPr>
            <w:tcW w:w="1934" w:type="dxa"/>
            <w:shd w:val="clear" w:color="auto" w:fill="003366"/>
          </w:tcPr>
          <w:p w14:paraId="469A7406" w14:textId="77777777" w:rsidR="006670AB" w:rsidRDefault="006670AB" w:rsidP="004F67AF">
            <w:pPr>
              <w:pStyle w:val="TableParagraph"/>
            </w:pPr>
          </w:p>
          <w:p w14:paraId="2E61E49F" w14:textId="77777777" w:rsidR="006670AB" w:rsidRDefault="00D03257" w:rsidP="004F67AF">
            <w:pPr>
              <w:pStyle w:val="TableParagraph"/>
              <w:spacing w:before="0"/>
              <w:ind w:left="271"/>
              <w:rPr>
                <w:b/>
              </w:rPr>
            </w:pPr>
            <w:r>
              <w:rPr>
                <w:b/>
                <w:color w:val="FFFFFF"/>
              </w:rPr>
              <w:t>Phone Number</w:t>
            </w:r>
          </w:p>
        </w:tc>
        <w:tc>
          <w:tcPr>
            <w:tcW w:w="1932" w:type="dxa"/>
            <w:shd w:val="clear" w:color="auto" w:fill="003366"/>
          </w:tcPr>
          <w:p w14:paraId="7C8C6473" w14:textId="77777777" w:rsidR="006670AB" w:rsidRDefault="00D03257" w:rsidP="697C1F1C">
            <w:pPr>
              <w:pStyle w:val="TableParagraph"/>
              <w:spacing w:before="143"/>
              <w:ind w:left="179" w:right="163"/>
              <w:rPr>
                <w:b/>
                <w:bCs/>
              </w:rPr>
            </w:pPr>
            <w:r w:rsidRPr="697C1F1C">
              <w:rPr>
                <w:b/>
                <w:bCs/>
                <w:color w:val="FFFFFF" w:themeColor="background1"/>
              </w:rPr>
              <w:t>Primary or Alternate Facility</w:t>
            </w:r>
          </w:p>
        </w:tc>
        <w:tc>
          <w:tcPr>
            <w:tcW w:w="1932" w:type="dxa"/>
            <w:shd w:val="clear" w:color="auto" w:fill="003366"/>
          </w:tcPr>
          <w:p w14:paraId="78FC8D92" w14:textId="77777777" w:rsidR="00361649" w:rsidRDefault="00361649" w:rsidP="004F67AF">
            <w:pPr>
              <w:pStyle w:val="TableParagraph"/>
              <w:ind w:left="386"/>
              <w:rPr>
                <w:b/>
                <w:color w:val="FFFFFF"/>
              </w:rPr>
            </w:pPr>
          </w:p>
          <w:p w14:paraId="30F694ED" w14:textId="2D463218" w:rsidR="006670AB" w:rsidRDefault="00D03257" w:rsidP="004F67AF">
            <w:pPr>
              <w:pStyle w:val="TableParagraph"/>
              <w:ind w:left="386"/>
              <w:rPr>
                <w:b/>
              </w:rPr>
            </w:pPr>
            <w:r>
              <w:rPr>
                <w:b/>
                <w:color w:val="FFFFFF"/>
              </w:rPr>
              <w:t>Required for</w:t>
            </w:r>
          </w:p>
        </w:tc>
      </w:tr>
      <w:tr w:rsidR="006670AB" w14:paraId="7A37C712" w14:textId="77777777" w:rsidTr="697C1F1C">
        <w:trPr>
          <w:trHeight w:hRule="exact" w:val="838"/>
        </w:trPr>
        <w:tc>
          <w:tcPr>
            <w:tcW w:w="2066" w:type="dxa"/>
            <w:shd w:val="clear" w:color="auto" w:fill="F2F2F2" w:themeFill="background1" w:themeFillShade="F2"/>
          </w:tcPr>
          <w:p w14:paraId="1127149B" w14:textId="77777777" w:rsidR="006670AB" w:rsidRDefault="006670AB" w:rsidP="004F67AF"/>
        </w:tc>
        <w:tc>
          <w:tcPr>
            <w:tcW w:w="2206" w:type="dxa"/>
            <w:shd w:val="clear" w:color="auto" w:fill="F2F2F2" w:themeFill="background1" w:themeFillShade="F2"/>
          </w:tcPr>
          <w:p w14:paraId="234E3AC7" w14:textId="77777777" w:rsidR="006670AB" w:rsidRDefault="006670AB" w:rsidP="004F67AF"/>
        </w:tc>
        <w:tc>
          <w:tcPr>
            <w:tcW w:w="1934" w:type="dxa"/>
            <w:shd w:val="clear" w:color="auto" w:fill="F2F2F2" w:themeFill="background1" w:themeFillShade="F2"/>
          </w:tcPr>
          <w:p w14:paraId="0B31AE2D" w14:textId="77777777" w:rsidR="006670AB" w:rsidRDefault="006670AB" w:rsidP="004F67AF"/>
        </w:tc>
        <w:tc>
          <w:tcPr>
            <w:tcW w:w="1932" w:type="dxa"/>
            <w:shd w:val="clear" w:color="auto" w:fill="F2F2F2" w:themeFill="background1" w:themeFillShade="F2"/>
          </w:tcPr>
          <w:p w14:paraId="0BF3AB93" w14:textId="77777777" w:rsidR="006670AB" w:rsidRDefault="006670AB" w:rsidP="004F67AF"/>
        </w:tc>
        <w:tc>
          <w:tcPr>
            <w:tcW w:w="1932" w:type="dxa"/>
            <w:shd w:val="clear" w:color="auto" w:fill="F2F2F2" w:themeFill="background1" w:themeFillShade="F2"/>
          </w:tcPr>
          <w:p w14:paraId="1E09D4DC" w14:textId="21480B18" w:rsidR="006670AB" w:rsidRDefault="006670AB" w:rsidP="004F67AF"/>
        </w:tc>
      </w:tr>
      <w:tr w:rsidR="006670AB" w14:paraId="3CA2E8C1" w14:textId="77777777" w:rsidTr="697C1F1C">
        <w:trPr>
          <w:trHeight w:hRule="exact" w:val="838"/>
        </w:trPr>
        <w:tc>
          <w:tcPr>
            <w:tcW w:w="2066" w:type="dxa"/>
          </w:tcPr>
          <w:p w14:paraId="48DD04DC" w14:textId="77777777" w:rsidR="006670AB" w:rsidRDefault="006670AB" w:rsidP="004F67AF"/>
        </w:tc>
        <w:tc>
          <w:tcPr>
            <w:tcW w:w="2206" w:type="dxa"/>
          </w:tcPr>
          <w:p w14:paraId="6210478F" w14:textId="77777777" w:rsidR="006670AB" w:rsidRDefault="006670AB" w:rsidP="004F67AF"/>
        </w:tc>
        <w:tc>
          <w:tcPr>
            <w:tcW w:w="1934" w:type="dxa"/>
          </w:tcPr>
          <w:p w14:paraId="25961869" w14:textId="77777777" w:rsidR="006670AB" w:rsidRDefault="006670AB" w:rsidP="004F67AF"/>
        </w:tc>
        <w:tc>
          <w:tcPr>
            <w:tcW w:w="1932" w:type="dxa"/>
          </w:tcPr>
          <w:p w14:paraId="0A33375C" w14:textId="77777777" w:rsidR="006670AB" w:rsidRDefault="006670AB" w:rsidP="004F67AF"/>
        </w:tc>
        <w:tc>
          <w:tcPr>
            <w:tcW w:w="1932" w:type="dxa"/>
          </w:tcPr>
          <w:p w14:paraId="69DF7546" w14:textId="77777777" w:rsidR="006670AB" w:rsidRDefault="006670AB" w:rsidP="004F67AF"/>
        </w:tc>
      </w:tr>
      <w:tr w:rsidR="006670AB" w14:paraId="0520591E" w14:textId="77777777" w:rsidTr="697C1F1C">
        <w:trPr>
          <w:trHeight w:hRule="exact" w:val="888"/>
        </w:trPr>
        <w:tc>
          <w:tcPr>
            <w:tcW w:w="2066" w:type="dxa"/>
          </w:tcPr>
          <w:p w14:paraId="50C80449" w14:textId="77777777" w:rsidR="006670AB" w:rsidRDefault="006670AB" w:rsidP="004F67AF"/>
        </w:tc>
        <w:tc>
          <w:tcPr>
            <w:tcW w:w="2206" w:type="dxa"/>
          </w:tcPr>
          <w:p w14:paraId="24594BFF" w14:textId="77777777" w:rsidR="006670AB" w:rsidRDefault="006670AB" w:rsidP="004F67AF"/>
        </w:tc>
        <w:tc>
          <w:tcPr>
            <w:tcW w:w="1934" w:type="dxa"/>
          </w:tcPr>
          <w:p w14:paraId="10C5498F" w14:textId="77777777" w:rsidR="006670AB" w:rsidRDefault="006670AB" w:rsidP="004F67AF"/>
        </w:tc>
        <w:tc>
          <w:tcPr>
            <w:tcW w:w="1932" w:type="dxa"/>
          </w:tcPr>
          <w:p w14:paraId="7BA3B735" w14:textId="77777777" w:rsidR="006670AB" w:rsidRDefault="006670AB" w:rsidP="004F67AF"/>
        </w:tc>
        <w:tc>
          <w:tcPr>
            <w:tcW w:w="1932" w:type="dxa"/>
          </w:tcPr>
          <w:p w14:paraId="52B8584D" w14:textId="77777777" w:rsidR="006670AB" w:rsidRDefault="006670AB" w:rsidP="004F67AF"/>
        </w:tc>
      </w:tr>
      <w:tr w:rsidR="006670AB" w14:paraId="1AB9FA00" w14:textId="77777777" w:rsidTr="697C1F1C">
        <w:trPr>
          <w:trHeight w:hRule="exact" w:val="840"/>
        </w:trPr>
        <w:tc>
          <w:tcPr>
            <w:tcW w:w="2066" w:type="dxa"/>
          </w:tcPr>
          <w:p w14:paraId="450790E4" w14:textId="77777777" w:rsidR="006670AB" w:rsidRDefault="006670AB" w:rsidP="004F67AF"/>
        </w:tc>
        <w:tc>
          <w:tcPr>
            <w:tcW w:w="2206" w:type="dxa"/>
          </w:tcPr>
          <w:p w14:paraId="4E4E4F1F" w14:textId="77777777" w:rsidR="006670AB" w:rsidRDefault="006670AB" w:rsidP="004F67AF"/>
        </w:tc>
        <w:tc>
          <w:tcPr>
            <w:tcW w:w="1934" w:type="dxa"/>
          </w:tcPr>
          <w:p w14:paraId="2D3E3F5D" w14:textId="77777777" w:rsidR="006670AB" w:rsidRDefault="006670AB" w:rsidP="004F67AF"/>
        </w:tc>
        <w:tc>
          <w:tcPr>
            <w:tcW w:w="1932" w:type="dxa"/>
          </w:tcPr>
          <w:p w14:paraId="4811AA3A" w14:textId="77777777" w:rsidR="006670AB" w:rsidRDefault="006670AB" w:rsidP="004F67AF"/>
        </w:tc>
        <w:tc>
          <w:tcPr>
            <w:tcW w:w="1932" w:type="dxa"/>
          </w:tcPr>
          <w:p w14:paraId="68BC4BEF" w14:textId="77777777" w:rsidR="006670AB" w:rsidRDefault="006670AB" w:rsidP="004F67AF"/>
        </w:tc>
      </w:tr>
      <w:tr w:rsidR="006670AB" w14:paraId="0624AB77" w14:textId="77777777" w:rsidTr="697C1F1C">
        <w:trPr>
          <w:trHeight w:hRule="exact" w:val="838"/>
        </w:trPr>
        <w:tc>
          <w:tcPr>
            <w:tcW w:w="2066" w:type="dxa"/>
          </w:tcPr>
          <w:p w14:paraId="6BB8943C" w14:textId="77777777" w:rsidR="006670AB" w:rsidRDefault="006670AB" w:rsidP="004F67AF"/>
        </w:tc>
        <w:tc>
          <w:tcPr>
            <w:tcW w:w="2206" w:type="dxa"/>
          </w:tcPr>
          <w:p w14:paraId="231BB184" w14:textId="77777777" w:rsidR="006670AB" w:rsidRDefault="006670AB" w:rsidP="004F67AF"/>
        </w:tc>
        <w:tc>
          <w:tcPr>
            <w:tcW w:w="1934" w:type="dxa"/>
          </w:tcPr>
          <w:p w14:paraId="7875E832" w14:textId="77777777" w:rsidR="006670AB" w:rsidRDefault="006670AB" w:rsidP="004F67AF"/>
        </w:tc>
        <w:tc>
          <w:tcPr>
            <w:tcW w:w="1932" w:type="dxa"/>
          </w:tcPr>
          <w:p w14:paraId="5E59BECC" w14:textId="77777777" w:rsidR="006670AB" w:rsidRDefault="006670AB" w:rsidP="004F67AF"/>
        </w:tc>
        <w:tc>
          <w:tcPr>
            <w:tcW w:w="1932" w:type="dxa"/>
          </w:tcPr>
          <w:p w14:paraId="33F98308" w14:textId="77777777" w:rsidR="006670AB" w:rsidRDefault="006670AB" w:rsidP="004F67AF"/>
        </w:tc>
      </w:tr>
      <w:tr w:rsidR="006670AB" w14:paraId="444CEFB3" w14:textId="77777777" w:rsidTr="697C1F1C">
        <w:trPr>
          <w:trHeight w:hRule="exact" w:val="838"/>
        </w:trPr>
        <w:tc>
          <w:tcPr>
            <w:tcW w:w="2066" w:type="dxa"/>
          </w:tcPr>
          <w:p w14:paraId="47D2BABD" w14:textId="77777777" w:rsidR="006670AB" w:rsidRDefault="006670AB" w:rsidP="004F67AF"/>
        </w:tc>
        <w:tc>
          <w:tcPr>
            <w:tcW w:w="2206" w:type="dxa"/>
          </w:tcPr>
          <w:p w14:paraId="7A52BB93" w14:textId="77777777" w:rsidR="006670AB" w:rsidRDefault="006670AB" w:rsidP="004F67AF"/>
        </w:tc>
        <w:tc>
          <w:tcPr>
            <w:tcW w:w="1934" w:type="dxa"/>
          </w:tcPr>
          <w:p w14:paraId="52F2EB37" w14:textId="77777777" w:rsidR="006670AB" w:rsidRDefault="006670AB" w:rsidP="004F67AF"/>
        </w:tc>
        <w:tc>
          <w:tcPr>
            <w:tcW w:w="1932" w:type="dxa"/>
          </w:tcPr>
          <w:p w14:paraId="4C367DB6" w14:textId="77777777" w:rsidR="006670AB" w:rsidRDefault="006670AB" w:rsidP="004F67AF"/>
        </w:tc>
        <w:tc>
          <w:tcPr>
            <w:tcW w:w="1932" w:type="dxa"/>
          </w:tcPr>
          <w:p w14:paraId="61819C10" w14:textId="77777777" w:rsidR="006670AB" w:rsidRDefault="006670AB" w:rsidP="004F67AF"/>
        </w:tc>
      </w:tr>
      <w:tr w:rsidR="006670AB" w14:paraId="4EF143E5" w14:textId="77777777" w:rsidTr="697C1F1C">
        <w:trPr>
          <w:trHeight w:hRule="exact" w:val="838"/>
        </w:trPr>
        <w:tc>
          <w:tcPr>
            <w:tcW w:w="2066" w:type="dxa"/>
          </w:tcPr>
          <w:p w14:paraId="5694705B" w14:textId="77777777" w:rsidR="006670AB" w:rsidRDefault="006670AB" w:rsidP="004F67AF"/>
        </w:tc>
        <w:tc>
          <w:tcPr>
            <w:tcW w:w="2206" w:type="dxa"/>
          </w:tcPr>
          <w:p w14:paraId="17A73418" w14:textId="77777777" w:rsidR="006670AB" w:rsidRDefault="006670AB" w:rsidP="004F67AF"/>
        </w:tc>
        <w:tc>
          <w:tcPr>
            <w:tcW w:w="1934" w:type="dxa"/>
          </w:tcPr>
          <w:p w14:paraId="048638D1" w14:textId="77777777" w:rsidR="006670AB" w:rsidRDefault="006670AB" w:rsidP="004F67AF"/>
        </w:tc>
        <w:tc>
          <w:tcPr>
            <w:tcW w:w="1932" w:type="dxa"/>
          </w:tcPr>
          <w:p w14:paraId="2C3E50F7" w14:textId="77777777" w:rsidR="006670AB" w:rsidRDefault="006670AB" w:rsidP="004F67AF"/>
        </w:tc>
        <w:tc>
          <w:tcPr>
            <w:tcW w:w="1932" w:type="dxa"/>
          </w:tcPr>
          <w:p w14:paraId="6DB4DF8E" w14:textId="77777777" w:rsidR="006670AB" w:rsidRDefault="006670AB" w:rsidP="004F67AF"/>
        </w:tc>
      </w:tr>
      <w:tr w:rsidR="006670AB" w14:paraId="4E0AAABE" w14:textId="77777777" w:rsidTr="697C1F1C">
        <w:trPr>
          <w:trHeight w:hRule="exact" w:val="838"/>
        </w:trPr>
        <w:tc>
          <w:tcPr>
            <w:tcW w:w="2066" w:type="dxa"/>
          </w:tcPr>
          <w:p w14:paraId="18C68508" w14:textId="77777777" w:rsidR="006670AB" w:rsidRDefault="006670AB" w:rsidP="004F67AF"/>
        </w:tc>
        <w:tc>
          <w:tcPr>
            <w:tcW w:w="2206" w:type="dxa"/>
          </w:tcPr>
          <w:p w14:paraId="12EA3968" w14:textId="77777777" w:rsidR="006670AB" w:rsidRDefault="006670AB" w:rsidP="004F67AF"/>
        </w:tc>
        <w:tc>
          <w:tcPr>
            <w:tcW w:w="1934" w:type="dxa"/>
          </w:tcPr>
          <w:p w14:paraId="3EA918C8" w14:textId="77777777" w:rsidR="006670AB" w:rsidRDefault="006670AB" w:rsidP="004F67AF"/>
        </w:tc>
        <w:tc>
          <w:tcPr>
            <w:tcW w:w="1932" w:type="dxa"/>
          </w:tcPr>
          <w:p w14:paraId="78288DDD" w14:textId="77777777" w:rsidR="006670AB" w:rsidRDefault="006670AB" w:rsidP="004F67AF"/>
        </w:tc>
        <w:tc>
          <w:tcPr>
            <w:tcW w:w="1932" w:type="dxa"/>
          </w:tcPr>
          <w:p w14:paraId="46D755FD" w14:textId="77777777" w:rsidR="006670AB" w:rsidRDefault="006670AB" w:rsidP="004F67AF"/>
        </w:tc>
      </w:tr>
      <w:tr w:rsidR="006670AB" w14:paraId="7EF80B38" w14:textId="77777777" w:rsidTr="697C1F1C">
        <w:trPr>
          <w:trHeight w:hRule="exact" w:val="838"/>
        </w:trPr>
        <w:tc>
          <w:tcPr>
            <w:tcW w:w="2066" w:type="dxa"/>
          </w:tcPr>
          <w:p w14:paraId="0A452114" w14:textId="77777777" w:rsidR="006670AB" w:rsidRDefault="006670AB" w:rsidP="004F67AF"/>
        </w:tc>
        <w:tc>
          <w:tcPr>
            <w:tcW w:w="2206" w:type="dxa"/>
          </w:tcPr>
          <w:p w14:paraId="1912BEE1" w14:textId="77777777" w:rsidR="006670AB" w:rsidRDefault="006670AB" w:rsidP="004F67AF"/>
        </w:tc>
        <w:tc>
          <w:tcPr>
            <w:tcW w:w="1934" w:type="dxa"/>
          </w:tcPr>
          <w:p w14:paraId="7F318391" w14:textId="77777777" w:rsidR="006670AB" w:rsidRDefault="006670AB" w:rsidP="004F67AF"/>
        </w:tc>
        <w:tc>
          <w:tcPr>
            <w:tcW w:w="1932" w:type="dxa"/>
          </w:tcPr>
          <w:p w14:paraId="29915CF8" w14:textId="77777777" w:rsidR="006670AB" w:rsidRDefault="006670AB" w:rsidP="004F67AF"/>
        </w:tc>
        <w:tc>
          <w:tcPr>
            <w:tcW w:w="1932" w:type="dxa"/>
          </w:tcPr>
          <w:p w14:paraId="48A86358" w14:textId="77777777" w:rsidR="006670AB" w:rsidRDefault="006670AB" w:rsidP="004F67AF"/>
        </w:tc>
      </w:tr>
      <w:tr w:rsidR="006670AB" w14:paraId="4D23794D" w14:textId="77777777" w:rsidTr="697C1F1C">
        <w:trPr>
          <w:trHeight w:hRule="exact" w:val="840"/>
        </w:trPr>
        <w:tc>
          <w:tcPr>
            <w:tcW w:w="2066" w:type="dxa"/>
          </w:tcPr>
          <w:p w14:paraId="0CD364E6" w14:textId="77777777" w:rsidR="006670AB" w:rsidRDefault="006670AB" w:rsidP="004F67AF"/>
        </w:tc>
        <w:tc>
          <w:tcPr>
            <w:tcW w:w="2206" w:type="dxa"/>
          </w:tcPr>
          <w:p w14:paraId="24D28148" w14:textId="77777777" w:rsidR="006670AB" w:rsidRDefault="006670AB" w:rsidP="004F67AF"/>
        </w:tc>
        <w:tc>
          <w:tcPr>
            <w:tcW w:w="1934" w:type="dxa"/>
          </w:tcPr>
          <w:p w14:paraId="3AB663B3" w14:textId="77777777" w:rsidR="006670AB" w:rsidRDefault="006670AB" w:rsidP="004F67AF"/>
        </w:tc>
        <w:tc>
          <w:tcPr>
            <w:tcW w:w="1932" w:type="dxa"/>
          </w:tcPr>
          <w:p w14:paraId="021B9AE1" w14:textId="77777777" w:rsidR="006670AB" w:rsidRDefault="006670AB" w:rsidP="004F67AF"/>
        </w:tc>
        <w:tc>
          <w:tcPr>
            <w:tcW w:w="1932" w:type="dxa"/>
          </w:tcPr>
          <w:p w14:paraId="78115CD6" w14:textId="77777777" w:rsidR="006670AB" w:rsidRDefault="006670AB" w:rsidP="004F67AF"/>
        </w:tc>
      </w:tr>
    </w:tbl>
    <w:p w14:paraId="1009C7F4" w14:textId="1EF701C6" w:rsidR="00516BF1" w:rsidRDefault="00516BF1" w:rsidP="17B147EC">
      <w:pPr>
        <w:tabs>
          <w:tab w:val="left" w:pos="3757"/>
        </w:tabs>
        <w:spacing w:before="51"/>
        <w:ind w:right="420"/>
        <w:rPr>
          <w:sz w:val="20"/>
          <w:szCs w:val="20"/>
        </w:rPr>
      </w:pPr>
      <w:bookmarkStart w:id="0" w:name="_Hlk43298948"/>
    </w:p>
    <w:bookmarkEnd w:id="0"/>
    <w:p w14:paraId="15A50BFC" w14:textId="2E61B44F" w:rsidR="00031D19" w:rsidRPr="00F07330" w:rsidRDefault="43EDD5AC" w:rsidP="17B147EC">
      <w:pPr>
        <w:widowControl/>
        <w:tabs>
          <w:tab w:val="left" w:pos="3757"/>
        </w:tabs>
        <w:autoSpaceDE/>
        <w:autoSpaceDN/>
        <w:spacing w:before="51"/>
        <w:ind w:right="420"/>
        <w:rPr>
          <w:rFonts w:eastAsia="Times New Roman"/>
        </w:rPr>
      </w:pPr>
      <w:r w:rsidRPr="17B147EC">
        <w:rPr>
          <w:rFonts w:eastAsia="Times New Roman"/>
        </w:rPr>
        <w:t>This job aid is a component of the free, on-demand CDC training course “Laboratory Continuity of</w:t>
      </w:r>
      <w:r w:rsidR="1DE88BE3" w:rsidRPr="17B147EC">
        <w:rPr>
          <w:rFonts w:eastAsia="Times New Roman"/>
        </w:rPr>
        <w:t xml:space="preserve"> </w:t>
      </w:r>
      <w:r w:rsidRPr="17B147EC">
        <w:rPr>
          <w:rFonts w:eastAsia="Times New Roman"/>
        </w:rPr>
        <w:t xml:space="preserve">Operations.” Find the course at </w:t>
      </w:r>
      <w:hyperlink r:id="rId11">
        <w:r w:rsidRPr="17B147EC">
          <w:rPr>
            <w:rStyle w:val="Hyperlink"/>
            <w:rFonts w:eastAsia="Times New Roman"/>
          </w:rPr>
          <w:t>https://</w:t>
        </w:r>
        <w:r w:rsidR="113BA458" w:rsidRPr="17B147EC">
          <w:rPr>
            <w:rStyle w:val="Hyperlink"/>
            <w:rFonts w:eastAsia="Times New Roman"/>
          </w:rPr>
          <w:t>reach.cdc.gov/</w:t>
        </w:r>
        <w:r w:rsidRPr="17B147EC">
          <w:rPr>
            <w:rStyle w:val="Hyperlink"/>
            <w:rFonts w:eastAsia="Times New Roman"/>
          </w:rPr>
          <w:t>training</w:t>
        </w:r>
      </w:hyperlink>
      <w:r w:rsidRPr="17B147EC">
        <w:rPr>
          <w:rFonts w:eastAsia="Times New Roman"/>
        </w:rPr>
        <w:t>.</w:t>
      </w:r>
    </w:p>
    <w:p w14:paraId="5FDDD97A" w14:textId="3B023B5E" w:rsidR="17B147EC" w:rsidRDefault="17B147EC" w:rsidP="17B147EC">
      <w:pPr>
        <w:tabs>
          <w:tab w:val="left" w:pos="3757"/>
        </w:tabs>
        <w:spacing w:before="51"/>
        <w:ind w:right="420"/>
        <w:rPr>
          <w:rFonts w:eastAsia="Times New Roman"/>
        </w:rPr>
      </w:pPr>
    </w:p>
    <w:p w14:paraId="6CAC004B" w14:textId="2EE0EF45" w:rsidR="70C26CAA" w:rsidRDefault="70C26CAA" w:rsidP="17B147EC">
      <w:pPr>
        <w:tabs>
          <w:tab w:val="left" w:pos="3757"/>
        </w:tabs>
        <w:spacing w:before="51"/>
        <w:ind w:right="420"/>
        <w:rPr>
          <w:rFonts w:eastAsia="Times New Roman"/>
        </w:rPr>
      </w:pPr>
      <w:r w:rsidRPr="17B147EC">
        <w:rPr>
          <w:rFonts w:eastAsia="Times New Roman"/>
        </w:rPr>
        <w:t>v.23</w:t>
      </w:r>
      <w:r w:rsidR="007D00AC">
        <w:rPr>
          <w:rFonts w:eastAsia="Times New Roman"/>
        </w:rPr>
        <w:t>030</w:t>
      </w:r>
    </w:p>
    <w:p w14:paraId="2FA0042A" w14:textId="77777777" w:rsidR="00D03257" w:rsidRDefault="00D03257"/>
    <w:sectPr w:rsidR="00D03257" w:rsidSect="00D032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951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55F4" w14:textId="77777777" w:rsidR="00D05D1B" w:rsidRDefault="00D05D1B" w:rsidP="00D03257">
      <w:r>
        <w:separator/>
      </w:r>
    </w:p>
  </w:endnote>
  <w:endnote w:type="continuationSeparator" w:id="0">
    <w:p w14:paraId="480539FB" w14:textId="77777777" w:rsidR="00D05D1B" w:rsidRDefault="00D05D1B" w:rsidP="00D0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3794" w14:textId="77777777" w:rsidR="00031D19" w:rsidRDefault="00031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752C" w14:textId="77777777" w:rsidR="00031D19" w:rsidRDefault="00031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2C56" w14:textId="77777777" w:rsidR="00031D19" w:rsidRDefault="00031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069C" w14:textId="77777777" w:rsidR="00D05D1B" w:rsidRDefault="00D05D1B" w:rsidP="00D03257">
      <w:r>
        <w:separator/>
      </w:r>
    </w:p>
  </w:footnote>
  <w:footnote w:type="continuationSeparator" w:id="0">
    <w:p w14:paraId="3B75D385" w14:textId="77777777" w:rsidR="00D05D1B" w:rsidRDefault="00D05D1B" w:rsidP="00D0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1BB6" w14:textId="77777777" w:rsidR="00031D19" w:rsidRDefault="00031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A632" w14:textId="1F35D722" w:rsidR="00D03257" w:rsidRPr="00031D19" w:rsidRDefault="00031D19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35AF803D" w14:textId="223C878F" w:rsidR="00D03257" w:rsidRDefault="00D03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1AFD" w14:textId="77777777" w:rsidR="00031D19" w:rsidRDefault="00031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B"/>
    <w:rsid w:val="00031D19"/>
    <w:rsid w:val="00123D84"/>
    <w:rsid w:val="00186B08"/>
    <w:rsid w:val="00361649"/>
    <w:rsid w:val="004F67AF"/>
    <w:rsid w:val="00516BF1"/>
    <w:rsid w:val="006670AB"/>
    <w:rsid w:val="007D00AC"/>
    <w:rsid w:val="009235FF"/>
    <w:rsid w:val="00D03257"/>
    <w:rsid w:val="00D05D1B"/>
    <w:rsid w:val="113BA458"/>
    <w:rsid w:val="17B147EC"/>
    <w:rsid w:val="1BCEE99B"/>
    <w:rsid w:val="1DE88BE3"/>
    <w:rsid w:val="23EF1079"/>
    <w:rsid w:val="43EDD5AC"/>
    <w:rsid w:val="56947B48"/>
    <w:rsid w:val="5EA4D521"/>
    <w:rsid w:val="697C1F1C"/>
    <w:rsid w:val="70C2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8CF25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</w:pPr>
  </w:style>
  <w:style w:type="paragraph" w:styleId="Header">
    <w:name w:val="header"/>
    <w:basedOn w:val="Normal"/>
    <w:link w:val="HeaderChar"/>
    <w:uiPriority w:val="99"/>
    <w:unhideWhenUsed/>
    <w:rsid w:val="00D03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25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3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257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3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ach.cdc.gov/training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CSELS-1621824651-1546</_dlc_DocId>
    <_dlc_DocIdUrl xmlns="0724e717-bbe7-4e48-ae6a-faff532bb476">
      <Url>https://cdc.sharepoint.com/sites/CSELS/DLS/Training/_layouts/15/DocIdRedir.aspx?ID=CSELS-1621824651-1546</Url>
      <Description>CSELS-1621824651-1546</Description>
    </_dlc_DocIdUrl>
    <TaxCatchAll xmlns="0724e717-bbe7-4e48-ae6a-faff532bb476" xsi:nil="true"/>
    <lcf76f155ced4ddcb4097134ff3c332f xmlns="f0ded82d-f41a-46a0-8b2b-bfd15d439bb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CB35CB51F740B91A7FB630791FC9" ma:contentTypeVersion="1309" ma:contentTypeDescription="Create a new document." ma:contentTypeScope="" ma:versionID="aba0fbe9cd6236280e287303bc27236d">
  <xsd:schema xmlns:xsd="http://www.w3.org/2001/XMLSchema" xmlns:xs="http://www.w3.org/2001/XMLSchema" xmlns:p="http://schemas.microsoft.com/office/2006/metadata/properties" xmlns:ns2="0724e717-bbe7-4e48-ae6a-faff532bb476" xmlns:ns3="f0ded82d-f41a-46a0-8b2b-bfd15d439bb0" xmlns:ns4="0ae2426c-2c1a-4d2a-9f9e-db071f9f1e87" targetNamespace="http://schemas.microsoft.com/office/2006/metadata/properties" ma:root="true" ma:fieldsID="221c5f425d6df8263418054bd8edd3aa" ns2:_="" ns3:_="" ns4:_="">
    <xsd:import namespace="0724e717-bbe7-4e48-ae6a-faff532bb476"/>
    <xsd:import namespace="f0ded82d-f41a-46a0-8b2b-bfd15d439bb0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82d-f41a-46a0-8b2b-bfd15d439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3613D-D9A4-44AD-8AFA-D768246426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4A582D-E1C9-466A-B44D-5D206E8EE0A1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f0ded82d-f41a-46a0-8b2b-bfd15d439bb0"/>
  </ds:schemaRefs>
</ds:datastoreItem>
</file>

<file path=customXml/itemProps3.xml><?xml version="1.0" encoding="utf-8"?>
<ds:datastoreItem xmlns:ds="http://schemas.openxmlformats.org/officeDocument/2006/customXml" ds:itemID="{6CE6EAAE-645D-4DE7-9913-B4B196AA29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4D450C-0F25-4945-A3AF-A56B556CBC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14FD3E-749D-4B04-8904-575D3127F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0ded82d-f41a-46a0-8b2b-bfd15d439bb0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Centers for Disease Control and Prevention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</dc:title>
  <dc:creator>phillips</dc:creator>
  <cp:lastModifiedBy>Jeannie Cherie Baughn</cp:lastModifiedBy>
  <cp:revision>14</cp:revision>
  <cp:lastPrinted>2020-07-21T13:36:00Z</cp:lastPrinted>
  <dcterms:created xsi:type="dcterms:W3CDTF">2023-01-18T19:46:00Z</dcterms:created>
  <dcterms:modified xsi:type="dcterms:W3CDTF">2023-01-30T15:26:00Z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0x0101005EFDCB35CB51F740B91A7FB630791FC9</vt:lpwstr>
  </property>
  <property fmtid="{D5CDD505-2E9C-101B-9397-08002B2CF9AE}" pid="6" name="_dlc_DocIdItemGuid">
    <vt:lpwstr>85ee794f-ef40-4cb7-a947-84cbe04a6eb8</vt:lpwstr>
  </property>
  <property fmtid="{D5CDD505-2E9C-101B-9397-08002B2CF9AE}" pid="7" name="MediaServiceImageTags">
    <vt:lpwstr/>
  </property>
  <property fmtid="{D5CDD505-2E9C-101B-9397-08002B2CF9AE}" pid="8" name="MSIP_Label_7b94a7b8-f06c-4dfe-bdcc-9b548fd58c31_Enabled">
    <vt:lpwstr>true</vt:lpwstr>
  </property>
  <property fmtid="{D5CDD505-2E9C-101B-9397-08002B2CF9AE}" pid="9" name="MSIP_Label_7b94a7b8-f06c-4dfe-bdcc-9b548fd58c31_SetDate">
    <vt:lpwstr>2023-01-18T19:46:34Z</vt:lpwstr>
  </property>
  <property fmtid="{D5CDD505-2E9C-101B-9397-08002B2CF9AE}" pid="10" name="MSIP_Label_7b94a7b8-f06c-4dfe-bdcc-9b548fd58c31_Method">
    <vt:lpwstr>Privileged</vt:lpwstr>
  </property>
  <property fmtid="{D5CDD505-2E9C-101B-9397-08002B2CF9AE}" pid="11" name="MSIP_Label_7b94a7b8-f06c-4dfe-bdcc-9b548fd58c31_Name">
    <vt:lpwstr>7b94a7b8-f06c-4dfe-bdcc-9b548fd58c31</vt:lpwstr>
  </property>
  <property fmtid="{D5CDD505-2E9C-101B-9397-08002B2CF9AE}" pid="12" name="MSIP_Label_7b94a7b8-f06c-4dfe-bdcc-9b548fd58c31_SiteId">
    <vt:lpwstr>9ce70869-60db-44fd-abe8-d2767077fc8f</vt:lpwstr>
  </property>
  <property fmtid="{D5CDD505-2E9C-101B-9397-08002B2CF9AE}" pid="13" name="MSIP_Label_7b94a7b8-f06c-4dfe-bdcc-9b548fd58c31_ActionId">
    <vt:lpwstr>05167de9-fcd1-4fa9-b795-dd4c7ac18f4f</vt:lpwstr>
  </property>
  <property fmtid="{D5CDD505-2E9C-101B-9397-08002B2CF9AE}" pid="14" name="MSIP_Label_7b94a7b8-f06c-4dfe-bdcc-9b548fd58c31_ContentBits">
    <vt:lpwstr>0</vt:lpwstr>
  </property>
</Properties>
</file>